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0E86" w14:textId="67C54C53" w:rsidR="008679AF" w:rsidRPr="008173C7" w:rsidRDefault="008679AF" w:rsidP="00184273">
      <w:pPr>
        <w:autoSpaceDE w:val="0"/>
        <w:autoSpaceDN w:val="0"/>
        <w:adjustRightInd w:val="0"/>
        <w:spacing w:line="240" w:lineRule="auto"/>
        <w:jc w:val="center"/>
        <w:rPr>
          <w:rFonts w:eastAsiaTheme="majorEastAsia" w:cs="Times New Roman"/>
          <w:spacing w:val="5"/>
          <w:kern w:val="28"/>
          <w:sz w:val="52"/>
          <w:szCs w:val="52"/>
          <w:lang w:val="en-US"/>
        </w:rPr>
      </w:pPr>
      <w:bookmarkStart w:id="0" w:name="_GoBack"/>
      <w:bookmarkEnd w:id="0"/>
      <w:r w:rsidRPr="008173C7">
        <w:rPr>
          <w:rFonts w:eastAsiaTheme="majorEastAsia" w:cs="Times New Roman"/>
          <w:spacing w:val="5"/>
          <w:kern w:val="28"/>
          <w:sz w:val="52"/>
          <w:szCs w:val="52"/>
          <w:lang w:val="en-US"/>
        </w:rPr>
        <w:t>Counting what really counts?</w:t>
      </w:r>
    </w:p>
    <w:p w14:paraId="23A9138F" w14:textId="0D74F628" w:rsidR="00E24B45" w:rsidRPr="008173C7" w:rsidRDefault="00953EB5" w:rsidP="00184273">
      <w:pPr>
        <w:autoSpaceDE w:val="0"/>
        <w:autoSpaceDN w:val="0"/>
        <w:adjustRightInd w:val="0"/>
        <w:spacing w:line="240" w:lineRule="auto"/>
        <w:jc w:val="center"/>
        <w:rPr>
          <w:rFonts w:eastAsiaTheme="majorEastAsia" w:cs="Times New Roman"/>
          <w:spacing w:val="5"/>
          <w:kern w:val="28"/>
          <w:sz w:val="52"/>
          <w:szCs w:val="52"/>
          <w:lang w:val="en-US"/>
        </w:rPr>
      </w:pPr>
      <w:r w:rsidRPr="008173C7">
        <w:rPr>
          <w:rFonts w:eastAsiaTheme="majorEastAsia" w:cs="Times New Roman"/>
          <w:spacing w:val="5"/>
          <w:kern w:val="28"/>
          <w:sz w:val="52"/>
          <w:szCs w:val="52"/>
          <w:lang w:val="en-US"/>
        </w:rPr>
        <w:t xml:space="preserve">Assessing </w:t>
      </w:r>
      <w:r w:rsidR="00152105" w:rsidRPr="008173C7">
        <w:rPr>
          <w:rFonts w:eastAsiaTheme="majorEastAsia" w:cs="Times New Roman"/>
          <w:spacing w:val="5"/>
          <w:kern w:val="28"/>
          <w:sz w:val="52"/>
          <w:szCs w:val="52"/>
          <w:lang w:val="en-US"/>
        </w:rPr>
        <w:t>the</w:t>
      </w:r>
      <w:r w:rsidR="00F568D1" w:rsidRPr="008173C7">
        <w:rPr>
          <w:rFonts w:eastAsiaTheme="majorEastAsia" w:cs="Times New Roman"/>
          <w:spacing w:val="5"/>
          <w:kern w:val="28"/>
          <w:sz w:val="52"/>
          <w:szCs w:val="52"/>
          <w:lang w:val="en-US"/>
        </w:rPr>
        <w:t xml:space="preserve"> political</w:t>
      </w:r>
      <w:r w:rsidR="00152105" w:rsidRPr="008173C7">
        <w:rPr>
          <w:rFonts w:eastAsiaTheme="majorEastAsia" w:cs="Times New Roman"/>
          <w:spacing w:val="5"/>
          <w:kern w:val="28"/>
          <w:sz w:val="52"/>
          <w:szCs w:val="52"/>
          <w:lang w:val="en-US"/>
        </w:rPr>
        <w:t xml:space="preserve"> </w:t>
      </w:r>
      <w:r w:rsidR="00F568D1" w:rsidRPr="008173C7">
        <w:rPr>
          <w:rFonts w:eastAsiaTheme="majorEastAsia" w:cs="Times New Roman"/>
          <w:spacing w:val="5"/>
          <w:kern w:val="28"/>
          <w:sz w:val="52"/>
          <w:szCs w:val="52"/>
          <w:lang w:val="en-US"/>
        </w:rPr>
        <w:t>impact of science</w:t>
      </w:r>
      <w:r w:rsidR="008679AF" w:rsidRPr="008173C7">
        <w:rPr>
          <w:rStyle w:val="Appelnotedebasdep"/>
          <w:rFonts w:eastAsiaTheme="majorEastAsia" w:cs="Times New Roman"/>
          <w:spacing w:val="5"/>
          <w:kern w:val="28"/>
          <w:sz w:val="52"/>
          <w:szCs w:val="52"/>
          <w:lang w:val="en-US"/>
        </w:rPr>
        <w:footnoteReference w:id="1"/>
      </w:r>
    </w:p>
    <w:p w14:paraId="70D2B1DE" w14:textId="77777777" w:rsidR="00921D03" w:rsidRPr="003B5402" w:rsidRDefault="00921D03" w:rsidP="00921D03">
      <w:pPr>
        <w:spacing w:line="240" w:lineRule="auto"/>
        <w:jc w:val="center"/>
        <w:rPr>
          <w:rFonts w:cs="Times New Roman"/>
          <w:bCs/>
          <w:lang w:val="en-US"/>
        </w:rPr>
      </w:pPr>
      <w:r w:rsidRPr="003B5402">
        <w:rPr>
          <w:rFonts w:cs="Times New Roman"/>
          <w:bCs/>
          <w:lang w:val="en-US"/>
        </w:rPr>
        <w:t xml:space="preserve">A. Gaunand </w:t>
      </w:r>
      <w:r w:rsidRPr="003B5402">
        <w:rPr>
          <w:rFonts w:cs="Times New Roman"/>
          <w:bCs/>
          <w:vertAlign w:val="superscript"/>
          <w:lang w:val="en-US"/>
        </w:rPr>
        <w:t>1,2,</w:t>
      </w:r>
      <w:r w:rsidRPr="003B5402">
        <w:rPr>
          <w:rFonts w:cs="Times New Roman"/>
          <w:szCs w:val="24"/>
          <w:lang w:val="en-US"/>
        </w:rPr>
        <w:t xml:space="preserve"> </w:t>
      </w:r>
      <w:r w:rsidRPr="003B5402">
        <w:rPr>
          <w:rFonts w:cs="Times New Roman"/>
          <w:szCs w:val="24"/>
          <w:vertAlign w:val="superscript"/>
          <w:lang w:val="en-US"/>
        </w:rPr>
        <w:t>µ</w:t>
      </w:r>
      <w:r w:rsidRPr="003B5402">
        <w:rPr>
          <w:rFonts w:cs="Times New Roman"/>
          <w:bCs/>
          <w:lang w:val="en-US"/>
        </w:rPr>
        <w:t>, L. Colinet</w:t>
      </w:r>
      <w:r w:rsidRPr="003B5402">
        <w:rPr>
          <w:rFonts w:cs="Times New Roman"/>
          <w:bCs/>
          <w:vertAlign w:val="superscript"/>
          <w:lang w:val="en-US"/>
        </w:rPr>
        <w:t>3</w:t>
      </w:r>
      <w:r w:rsidRPr="003B5402">
        <w:rPr>
          <w:rFonts w:cs="Times New Roman"/>
          <w:bCs/>
          <w:lang w:val="en-US"/>
        </w:rPr>
        <w:t>, M. Matt</w:t>
      </w:r>
      <w:r w:rsidRPr="003B5402">
        <w:rPr>
          <w:rFonts w:cs="Times New Roman"/>
          <w:bCs/>
          <w:vertAlign w:val="superscript"/>
          <w:lang w:val="en-US"/>
        </w:rPr>
        <w:t>4</w:t>
      </w:r>
      <w:r w:rsidRPr="003B5402">
        <w:rPr>
          <w:rFonts w:cs="Times New Roman"/>
          <w:bCs/>
          <w:lang w:val="en-US"/>
        </w:rPr>
        <w:t>, P.-B. Joly</w:t>
      </w:r>
      <w:r w:rsidRPr="003B5402">
        <w:rPr>
          <w:rFonts w:cs="Times New Roman"/>
          <w:bCs/>
          <w:vertAlign w:val="superscript"/>
          <w:lang w:val="en-US"/>
        </w:rPr>
        <w:t>2</w:t>
      </w:r>
    </w:p>
    <w:p w14:paraId="5DFE857C" w14:textId="77777777" w:rsidR="00921D03" w:rsidRPr="003B5402" w:rsidRDefault="00921D03" w:rsidP="00921D03">
      <w:pPr>
        <w:spacing w:line="240" w:lineRule="auto"/>
        <w:jc w:val="left"/>
        <w:rPr>
          <w:rFonts w:cs="Times New Roman"/>
          <w:bCs/>
          <w:lang w:val="en-US"/>
        </w:rPr>
      </w:pPr>
    </w:p>
    <w:p w14:paraId="0853DF36" w14:textId="77777777" w:rsidR="00921D03" w:rsidRPr="001930CF" w:rsidRDefault="00921D03" w:rsidP="00921D03">
      <w:pPr>
        <w:spacing w:line="240" w:lineRule="auto"/>
        <w:rPr>
          <w:rFonts w:cs="Times New Roman"/>
          <w:szCs w:val="24"/>
        </w:rPr>
      </w:pPr>
      <w:r w:rsidRPr="001930CF">
        <w:rPr>
          <w:rFonts w:cs="Times New Roman"/>
          <w:szCs w:val="24"/>
          <w:vertAlign w:val="superscript"/>
        </w:rPr>
        <w:t>1</w:t>
      </w:r>
      <w:r w:rsidRPr="001930CF">
        <w:rPr>
          <w:rFonts w:cs="Times New Roman"/>
          <w:szCs w:val="24"/>
        </w:rPr>
        <w:t xml:space="preserve"> INRA, Delegation for Evaluation, 147 rue de l’Université, 75338 Paris Cedex 07</w:t>
      </w:r>
    </w:p>
    <w:p w14:paraId="14A6C315" w14:textId="77777777" w:rsidR="00921D03" w:rsidRPr="001930CF" w:rsidRDefault="00921D03" w:rsidP="00921D03">
      <w:pPr>
        <w:spacing w:line="240" w:lineRule="auto"/>
        <w:rPr>
          <w:rFonts w:cs="Times New Roman"/>
          <w:iCs/>
          <w:szCs w:val="24"/>
        </w:rPr>
      </w:pPr>
      <w:r w:rsidRPr="001930CF">
        <w:rPr>
          <w:rFonts w:cs="Times New Roman"/>
          <w:szCs w:val="24"/>
          <w:vertAlign w:val="superscript"/>
        </w:rPr>
        <w:t>2</w:t>
      </w:r>
      <w:r w:rsidRPr="001930CF">
        <w:rPr>
          <w:rFonts w:cs="Times New Roman"/>
          <w:szCs w:val="24"/>
        </w:rPr>
        <w:t xml:space="preserve"> LISIS, CNRS, ESIEE Paris, CNRS, UPEM, Université Paris Est, F-</w:t>
      </w:r>
      <w:r w:rsidRPr="001930CF">
        <w:rPr>
          <w:rFonts w:cs="Times New Roman"/>
          <w:iCs/>
          <w:szCs w:val="24"/>
        </w:rPr>
        <w:t>77454 Marne-la-Vallée Cedex 2</w:t>
      </w:r>
    </w:p>
    <w:p w14:paraId="5C96B366" w14:textId="77777777" w:rsidR="00921D03" w:rsidRPr="001930CF" w:rsidRDefault="00921D03" w:rsidP="00921D03">
      <w:pPr>
        <w:spacing w:line="240" w:lineRule="auto"/>
        <w:rPr>
          <w:rFonts w:cs="Times New Roman"/>
          <w:szCs w:val="24"/>
        </w:rPr>
      </w:pPr>
      <w:r w:rsidRPr="001930CF">
        <w:rPr>
          <w:rFonts w:cs="Times New Roman"/>
          <w:szCs w:val="24"/>
          <w:vertAlign w:val="superscript"/>
        </w:rPr>
        <w:t>3</w:t>
      </w:r>
      <w:r w:rsidRPr="001930CF">
        <w:rPr>
          <w:rFonts w:cs="Times New Roman"/>
          <w:szCs w:val="24"/>
        </w:rPr>
        <w:t xml:space="preserve"> INRA Directorate College – INRA Department head – 147 rue de l’Université, 75338 Paris Cedex 07</w:t>
      </w:r>
    </w:p>
    <w:p w14:paraId="1C6D47CB" w14:textId="77777777" w:rsidR="00921D03" w:rsidRPr="00721CF1" w:rsidRDefault="00921D03" w:rsidP="00921D03">
      <w:pPr>
        <w:spacing w:line="240" w:lineRule="auto"/>
        <w:rPr>
          <w:rFonts w:cs="Times New Roman"/>
          <w:iCs/>
          <w:szCs w:val="24"/>
        </w:rPr>
      </w:pPr>
      <w:r w:rsidRPr="00721CF1">
        <w:rPr>
          <w:rFonts w:cs="Times New Roman"/>
          <w:szCs w:val="24"/>
          <w:vertAlign w:val="superscript"/>
        </w:rPr>
        <w:t>4</w:t>
      </w:r>
      <w:r w:rsidRPr="00721CF1">
        <w:rPr>
          <w:rFonts w:cs="Times New Roman"/>
          <w:szCs w:val="24"/>
        </w:rPr>
        <w:t xml:space="preserve"> INRA, UMR1215 GAEL, F-38000 Grenoble, France and </w:t>
      </w:r>
      <w:r w:rsidRPr="00721CF1">
        <w:rPr>
          <w:rFonts w:cs="Times New Roman"/>
          <w:iCs/>
          <w:szCs w:val="24"/>
        </w:rPr>
        <w:t>Univ. Grenoble Alpes, UMR 1215 GAEL, F- 38000 Grenoble, France</w:t>
      </w:r>
    </w:p>
    <w:p w14:paraId="2767F444" w14:textId="77777777" w:rsidR="00921D03" w:rsidRDefault="00921D03" w:rsidP="00921D03">
      <w:pPr>
        <w:spacing w:line="240" w:lineRule="auto"/>
        <w:rPr>
          <w:rFonts w:cs="Times New Roman"/>
          <w:szCs w:val="24"/>
          <w:lang w:val="en-US"/>
        </w:rPr>
      </w:pPr>
      <w:r w:rsidRPr="003B5402">
        <w:rPr>
          <w:rFonts w:cs="Times New Roman"/>
          <w:szCs w:val="24"/>
          <w:lang w:val="en-US"/>
        </w:rPr>
        <w:t xml:space="preserve">µ: corresponding author: </w:t>
      </w:r>
      <w:hyperlink r:id="rId8" w:history="1">
        <w:r w:rsidRPr="00227D8C">
          <w:rPr>
            <w:rStyle w:val="Lienhypertexte"/>
            <w:rFonts w:cs="Times New Roman"/>
            <w:szCs w:val="24"/>
            <w:lang w:val="en-US"/>
          </w:rPr>
          <w:t>Ariane.gaunand@inra.fr</w:t>
        </w:r>
      </w:hyperlink>
      <w:r>
        <w:rPr>
          <w:rFonts w:cs="Times New Roman"/>
          <w:szCs w:val="24"/>
          <w:lang w:val="en-US"/>
        </w:rPr>
        <w:t>, +33(0)142759106</w:t>
      </w:r>
    </w:p>
    <w:p w14:paraId="76DC2D24" w14:textId="77777777" w:rsidR="00221530" w:rsidRPr="008173C7" w:rsidRDefault="00221530" w:rsidP="00184273">
      <w:pPr>
        <w:spacing w:line="240" w:lineRule="auto"/>
        <w:jc w:val="left"/>
        <w:rPr>
          <w:rFonts w:cs="Times New Roman"/>
          <w:bCs/>
          <w:lang w:val="en-US"/>
        </w:rPr>
      </w:pPr>
    </w:p>
    <w:p w14:paraId="77BCBC7B" w14:textId="77777777" w:rsidR="00EB685B" w:rsidRPr="008173C7" w:rsidRDefault="00EB685B" w:rsidP="00184273">
      <w:pPr>
        <w:spacing w:line="240" w:lineRule="auto"/>
        <w:jc w:val="left"/>
        <w:rPr>
          <w:rFonts w:cs="Times New Roman"/>
          <w:b/>
          <w:bCs/>
          <w:lang w:val="en-US"/>
        </w:rPr>
      </w:pPr>
      <w:r w:rsidRPr="008173C7">
        <w:rPr>
          <w:rFonts w:cs="Times New Roman"/>
          <w:b/>
          <w:bCs/>
          <w:lang w:val="en-US"/>
        </w:rPr>
        <w:t>Abstract</w:t>
      </w:r>
    </w:p>
    <w:p w14:paraId="4811F864" w14:textId="0F5CB18F" w:rsidR="0024533D" w:rsidRPr="008173C7" w:rsidRDefault="0024533D" w:rsidP="008173C7">
      <w:pPr>
        <w:rPr>
          <w:lang w:val="en-US"/>
        </w:rPr>
      </w:pPr>
      <w:r w:rsidRPr="008173C7">
        <w:rPr>
          <w:lang w:val="en-US"/>
        </w:rPr>
        <w:t xml:space="preserve">The production of scientific knowledge is expected to benefit society in a variety of ways. However, and despite the many theoretical models available in the literature, there are few practical frameworks for </w:t>
      </w:r>
      <w:r w:rsidR="00361A7B" w:rsidRPr="008173C7">
        <w:rPr>
          <w:lang w:val="en-US"/>
        </w:rPr>
        <w:t>assessing</w:t>
      </w:r>
      <w:r w:rsidRPr="008173C7">
        <w:rPr>
          <w:lang w:val="en-US"/>
        </w:rPr>
        <w:t xml:space="preserve"> the dimensions of the effect of research on society – including its political impacts.</w:t>
      </w:r>
      <w:r w:rsidR="0011545B" w:rsidRPr="008173C7">
        <w:rPr>
          <w:lang w:val="en-US"/>
        </w:rPr>
        <w:t xml:space="preserve"> </w:t>
      </w:r>
      <w:r w:rsidRPr="008173C7">
        <w:rPr>
          <w:lang w:val="en-US"/>
        </w:rPr>
        <w:t>As part of the ASIRPA approach, in this paper we propose an ordinal rating scale to allow assessment of the political impact of research, based on a review of the literature, qualitative evidence of political impact gleaned from a collection of case studies, and an expert panel. The resulting metric uses a 1 to 5 scale to evaluate the intensity of the political impact of research according to generic criteria associated to each rating level. Routine application of this scale in case study research is increasing, and is allowing robust, simple and consistent self-assessments of the political impacts across cases, to complement qualitative case study descriptions.</w:t>
      </w:r>
      <w:r w:rsidR="0011545B" w:rsidRPr="008173C7">
        <w:rPr>
          <w:lang w:val="en-US"/>
        </w:rPr>
        <w:t xml:space="preserve"> </w:t>
      </w:r>
      <w:r w:rsidRPr="008173C7">
        <w:rPr>
          <w:lang w:val="en-US"/>
        </w:rPr>
        <w:t>The methodology used to design the rating scale prompted the panel experts to reveal their evaluation rationales and justify their judgments, increasing the transparency of the assessments. We believe that the benefits of assigning an ordinal measure to the political impact of research outweigh the risks of misuse of an impact number. The advantages include influencing political agenda-setting by showing what really matters, the opportunities it provides for scaling-up analyses of multidimensional impacts and identifying impact-generating mechanisms, and learning about and promoting discussion of the value systems reflected in the assessment.</w:t>
      </w:r>
    </w:p>
    <w:p w14:paraId="2F9DCB22" w14:textId="77777777" w:rsidR="008B7EB0" w:rsidRPr="008173C7" w:rsidRDefault="002F6FEB" w:rsidP="002F6FEB">
      <w:pPr>
        <w:spacing w:line="240" w:lineRule="auto"/>
        <w:jc w:val="left"/>
        <w:rPr>
          <w:rFonts w:cs="Times New Roman"/>
          <w:b/>
          <w:bCs/>
          <w:lang w:val="en-US"/>
        </w:rPr>
      </w:pPr>
      <w:r w:rsidRPr="008173C7">
        <w:rPr>
          <w:rFonts w:cs="Times New Roman"/>
          <w:b/>
          <w:bCs/>
          <w:lang w:val="en-US"/>
        </w:rPr>
        <w:t>Keywords:</w:t>
      </w:r>
    </w:p>
    <w:p w14:paraId="2BD25F3B" w14:textId="77777777" w:rsidR="008B7EB0" w:rsidRPr="008173C7" w:rsidRDefault="002F6FEB" w:rsidP="002F6FEB">
      <w:pPr>
        <w:spacing w:line="240" w:lineRule="auto"/>
        <w:jc w:val="left"/>
        <w:rPr>
          <w:rFonts w:cs="Times New Roman"/>
          <w:bCs/>
          <w:lang w:val="en-US"/>
        </w:rPr>
      </w:pPr>
      <w:r w:rsidRPr="008173C7">
        <w:rPr>
          <w:rFonts w:cs="Times New Roman"/>
          <w:bCs/>
          <w:lang w:val="en-US"/>
        </w:rPr>
        <w:t>Ex-post evaluation, political impact of science, metric, panel experts</w:t>
      </w:r>
      <w:r w:rsidR="00E23436" w:rsidRPr="008173C7">
        <w:rPr>
          <w:rFonts w:cs="Times New Roman"/>
          <w:bCs/>
          <w:lang w:val="en-US"/>
        </w:rPr>
        <w:t>, ASIRPA</w:t>
      </w:r>
    </w:p>
    <w:p w14:paraId="26225D3E" w14:textId="79FEAF2B" w:rsidR="00F23E3B" w:rsidRDefault="00F23E3B" w:rsidP="002F6FEB">
      <w:pPr>
        <w:spacing w:line="240" w:lineRule="auto"/>
        <w:jc w:val="left"/>
        <w:rPr>
          <w:rFonts w:cs="Times New Roman"/>
          <w:bCs/>
        </w:rPr>
      </w:pPr>
      <w:r w:rsidRPr="008173C7">
        <w:rPr>
          <w:rFonts w:cs="Times New Roman"/>
          <w:b/>
          <w:bCs/>
        </w:rPr>
        <w:t>JEL codes</w:t>
      </w:r>
      <w:r w:rsidRPr="008173C7">
        <w:rPr>
          <w:rFonts w:cs="Times New Roman"/>
          <w:bCs/>
        </w:rPr>
        <w:t>: H43, H83, O33,</w:t>
      </w:r>
      <w:r w:rsidR="00FA2D50" w:rsidRPr="008173C7">
        <w:rPr>
          <w:rFonts w:cs="Times New Roman"/>
          <w:bCs/>
        </w:rPr>
        <w:t xml:space="preserve"> O38, </w:t>
      </w:r>
      <w:r w:rsidRPr="008173C7">
        <w:rPr>
          <w:rFonts w:cs="Times New Roman"/>
          <w:bCs/>
        </w:rPr>
        <w:t>A13</w:t>
      </w:r>
    </w:p>
    <w:p w14:paraId="284ABC21" w14:textId="77777777" w:rsidR="00FB0BE9" w:rsidRDefault="00FB0BE9" w:rsidP="00FB0BE9">
      <w:pPr>
        <w:spacing w:line="240" w:lineRule="auto"/>
        <w:jc w:val="left"/>
        <w:rPr>
          <w:rFonts w:cs="Times New Roman"/>
          <w:b/>
          <w:szCs w:val="20"/>
          <w:lang w:val="en-US"/>
        </w:rPr>
      </w:pPr>
      <w:r w:rsidRPr="007B2218">
        <w:rPr>
          <w:rFonts w:cs="Times New Roman"/>
          <w:b/>
          <w:szCs w:val="20"/>
          <w:lang w:val="en-US"/>
        </w:rPr>
        <w:t>Acknowledgements</w:t>
      </w:r>
      <w:r>
        <w:rPr>
          <w:rFonts w:cs="Times New Roman"/>
          <w:b/>
          <w:szCs w:val="20"/>
          <w:lang w:val="en-US"/>
        </w:rPr>
        <w:t xml:space="preserve"> </w:t>
      </w:r>
    </w:p>
    <w:p w14:paraId="56201727" w14:textId="77777777" w:rsidR="00FB0BE9" w:rsidRPr="00137D52" w:rsidRDefault="00FB0BE9" w:rsidP="00FB0BE9">
      <w:pPr>
        <w:spacing w:line="240" w:lineRule="auto"/>
        <w:jc w:val="left"/>
        <w:rPr>
          <w:lang w:val="en-US"/>
        </w:rPr>
      </w:pPr>
      <w:r w:rsidRPr="007B2218">
        <w:rPr>
          <w:rFonts w:cs="Times New Roman"/>
          <w:szCs w:val="20"/>
          <w:lang w:val="en-US"/>
        </w:rPr>
        <w:t>The analysis was made possible by financial support from INRA (France) through the ASIRPA project (Socio-economic Analysis of the diversity of Impacts of Public Agricultural Research).</w:t>
      </w:r>
    </w:p>
    <w:p w14:paraId="75FEF7E6" w14:textId="40D87ECE" w:rsidR="000D2C0D" w:rsidRPr="008173C7" w:rsidRDefault="00EB685B" w:rsidP="000401BB">
      <w:pPr>
        <w:pStyle w:val="Titre1"/>
        <w:spacing w:after="200" w:line="480" w:lineRule="auto"/>
        <w:rPr>
          <w:rFonts w:ascii="Times New Roman" w:hAnsi="Times New Roman" w:cs="Times New Roman"/>
          <w:color w:val="auto"/>
          <w:lang w:val="en-US"/>
        </w:rPr>
      </w:pPr>
      <w:r w:rsidRPr="008173C7">
        <w:rPr>
          <w:rFonts w:ascii="Times New Roman" w:hAnsi="Times New Roman" w:cs="Times New Roman"/>
          <w:color w:val="auto"/>
          <w:lang w:val="en-US"/>
        </w:rPr>
        <w:lastRenderedPageBreak/>
        <w:t>Introduction</w:t>
      </w:r>
    </w:p>
    <w:p w14:paraId="2A62439F" w14:textId="1CEA58C2" w:rsidR="00661718" w:rsidRPr="008173C7" w:rsidRDefault="002E11C5" w:rsidP="000401BB">
      <w:pPr>
        <w:spacing w:line="480" w:lineRule="auto"/>
        <w:rPr>
          <w:rFonts w:cs="Times New Roman"/>
          <w:lang w:val="en-US"/>
        </w:rPr>
      </w:pPr>
      <w:r w:rsidRPr="008173C7">
        <w:rPr>
          <w:rFonts w:cs="Times New Roman"/>
          <w:lang w:val="en-US"/>
        </w:rPr>
        <w:t xml:space="preserve">In recent years, </w:t>
      </w:r>
      <w:r w:rsidR="004A76AE" w:rsidRPr="008173C7">
        <w:rPr>
          <w:rFonts w:cs="Times New Roman"/>
          <w:lang w:val="en-US"/>
        </w:rPr>
        <w:t xml:space="preserve">research </w:t>
      </w:r>
      <w:r w:rsidRPr="008173C7">
        <w:rPr>
          <w:rFonts w:cs="Times New Roman"/>
          <w:lang w:val="en-US"/>
        </w:rPr>
        <w:t xml:space="preserve">on impact assessment (RIA) </w:t>
      </w:r>
      <w:r w:rsidR="004A76AE" w:rsidRPr="008173C7">
        <w:rPr>
          <w:rFonts w:cs="Times New Roman"/>
          <w:lang w:val="en-US"/>
        </w:rPr>
        <w:t>has</w:t>
      </w:r>
      <w:r w:rsidRPr="008173C7">
        <w:rPr>
          <w:rFonts w:cs="Times New Roman"/>
          <w:lang w:val="en-US"/>
        </w:rPr>
        <w:t xml:space="preserve"> burgeoned</w:t>
      </w:r>
      <w:r w:rsidR="00561ED9" w:rsidRPr="008173C7">
        <w:rPr>
          <w:rFonts w:cs="Times New Roman"/>
          <w:lang w:val="en-US"/>
        </w:rPr>
        <w:t>,</w:t>
      </w:r>
      <w:r w:rsidRPr="008173C7">
        <w:rPr>
          <w:rFonts w:cs="Times New Roman"/>
          <w:lang w:val="en-US"/>
        </w:rPr>
        <w:t xml:space="preserve"> </w:t>
      </w:r>
      <w:r w:rsidR="004A76AE" w:rsidRPr="008173C7">
        <w:rPr>
          <w:rFonts w:cs="Times New Roman"/>
          <w:lang w:val="en-US"/>
        </w:rPr>
        <w:t xml:space="preserve">and a </w:t>
      </w:r>
      <w:r w:rsidR="00561ED9" w:rsidRPr="008173C7">
        <w:rPr>
          <w:rFonts w:cs="Times New Roman"/>
          <w:lang w:val="en-US"/>
        </w:rPr>
        <w:t xml:space="preserve">progressively growing </w:t>
      </w:r>
      <w:r w:rsidR="004C2CEA" w:rsidRPr="008173C7">
        <w:rPr>
          <w:rFonts w:cs="Times New Roman"/>
          <w:lang w:val="en-US"/>
        </w:rPr>
        <w:t xml:space="preserve">interest </w:t>
      </w:r>
      <w:r w:rsidR="00561ED9" w:rsidRPr="008173C7">
        <w:rPr>
          <w:rFonts w:cs="Times New Roman"/>
          <w:lang w:val="en-US"/>
        </w:rPr>
        <w:t xml:space="preserve">in </w:t>
      </w:r>
      <w:r w:rsidR="004A76AE" w:rsidRPr="008173C7">
        <w:rPr>
          <w:rFonts w:cs="Times New Roman"/>
          <w:lang w:val="en-US"/>
        </w:rPr>
        <w:t xml:space="preserve">assessment of </w:t>
      </w:r>
      <w:r w:rsidR="00561ED9" w:rsidRPr="008173C7">
        <w:rPr>
          <w:rFonts w:cs="Times New Roman"/>
          <w:lang w:val="en-US"/>
        </w:rPr>
        <w:t xml:space="preserve">the </w:t>
      </w:r>
      <w:r w:rsidR="004A76AE" w:rsidRPr="008173C7">
        <w:rPr>
          <w:rFonts w:cs="Times New Roman"/>
          <w:lang w:val="en-US"/>
        </w:rPr>
        <w:t>societal impacts of research</w:t>
      </w:r>
      <w:r w:rsidR="00F0359F" w:rsidRPr="008173C7">
        <w:rPr>
          <w:rFonts w:cs="Times New Roman"/>
          <w:lang w:val="en-US"/>
        </w:rPr>
        <w:t xml:space="preserve"> </w:t>
      </w:r>
      <w:r w:rsidR="004A76AE" w:rsidRPr="008173C7">
        <w:rPr>
          <w:rFonts w:cs="Times New Roman"/>
          <w:lang w:val="en-US"/>
        </w:rPr>
        <w:t xml:space="preserve">has emerged. </w:t>
      </w:r>
      <w:r w:rsidR="004C2CEA" w:rsidRPr="008173C7">
        <w:rPr>
          <w:rFonts w:cs="Times New Roman"/>
          <w:lang w:val="en-US"/>
        </w:rPr>
        <w:t xml:space="preserve">This has </w:t>
      </w:r>
      <w:r w:rsidR="00561ED9" w:rsidRPr="008173C7">
        <w:rPr>
          <w:rFonts w:cs="Times New Roman"/>
          <w:lang w:val="en-US"/>
        </w:rPr>
        <w:t xml:space="preserve">resulted </w:t>
      </w:r>
      <w:r w:rsidR="004C2CEA" w:rsidRPr="008173C7">
        <w:rPr>
          <w:rFonts w:cs="Times New Roman"/>
          <w:lang w:val="en-US"/>
        </w:rPr>
        <w:t>in a number of academic and non</w:t>
      </w:r>
      <w:r w:rsidR="00561ED9" w:rsidRPr="008173C7">
        <w:rPr>
          <w:rFonts w:cs="Times New Roman"/>
          <w:lang w:val="en-US"/>
        </w:rPr>
        <w:t>-</w:t>
      </w:r>
      <w:r w:rsidR="004C2CEA" w:rsidRPr="008173C7">
        <w:rPr>
          <w:rFonts w:cs="Times New Roman"/>
          <w:lang w:val="en-US"/>
        </w:rPr>
        <w:t>academic publications focus</w:t>
      </w:r>
      <w:r w:rsidR="00561ED9" w:rsidRPr="008173C7">
        <w:rPr>
          <w:rFonts w:cs="Times New Roman"/>
          <w:lang w:val="en-US"/>
        </w:rPr>
        <w:t>ing</w:t>
      </w:r>
      <w:r w:rsidR="004C2CEA" w:rsidRPr="008173C7">
        <w:rPr>
          <w:rFonts w:cs="Times New Roman"/>
          <w:lang w:val="en-US"/>
        </w:rPr>
        <w:t xml:space="preserve"> on </w:t>
      </w:r>
      <w:r w:rsidR="00561ED9" w:rsidRPr="008173C7">
        <w:rPr>
          <w:rFonts w:cs="Times New Roman"/>
          <w:lang w:val="en-US"/>
        </w:rPr>
        <w:t xml:space="preserve">the </w:t>
      </w:r>
      <w:r w:rsidR="004C2CEA" w:rsidRPr="008173C7">
        <w:rPr>
          <w:rFonts w:cs="Times New Roman"/>
          <w:lang w:val="en-US"/>
        </w:rPr>
        <w:t>one hand on the need to understand impact</w:t>
      </w:r>
      <w:r w:rsidR="00561ED9" w:rsidRPr="008173C7">
        <w:rPr>
          <w:rFonts w:cs="Times New Roman"/>
          <w:lang w:val="en-US"/>
        </w:rPr>
        <w:t>-</w:t>
      </w:r>
      <w:r w:rsidR="004C2CEA" w:rsidRPr="008173C7">
        <w:rPr>
          <w:rFonts w:cs="Times New Roman"/>
          <w:lang w:val="en-US"/>
        </w:rPr>
        <w:t>generating mechanisms as complex processes involving productive interactions</w:t>
      </w:r>
      <w:r w:rsidR="00561ED9" w:rsidRPr="008173C7">
        <w:rPr>
          <w:rFonts w:cs="Times New Roman"/>
          <w:lang w:val="en-US"/>
        </w:rPr>
        <w:t>,</w:t>
      </w:r>
      <w:r w:rsidR="004C2CEA" w:rsidRPr="008173C7">
        <w:rPr>
          <w:rFonts w:cs="Times New Roman"/>
          <w:lang w:val="en-US"/>
        </w:rPr>
        <w:t xml:space="preserve"> and</w:t>
      </w:r>
      <w:r w:rsidR="006F3D59" w:rsidRPr="008173C7">
        <w:rPr>
          <w:rFonts w:cs="Times New Roman"/>
          <w:lang w:val="en-US"/>
        </w:rPr>
        <w:t>,</w:t>
      </w:r>
      <w:r w:rsidR="004C2CEA" w:rsidRPr="008173C7">
        <w:rPr>
          <w:rFonts w:cs="Times New Roman"/>
          <w:lang w:val="en-US"/>
        </w:rPr>
        <w:t xml:space="preserve"> on the other hand the ne</w:t>
      </w:r>
      <w:r w:rsidR="00561ED9" w:rsidRPr="008173C7">
        <w:rPr>
          <w:rFonts w:cs="Times New Roman"/>
          <w:lang w:val="en-US"/>
        </w:rPr>
        <w:t>ed</w:t>
      </w:r>
      <w:r w:rsidR="004C2CEA" w:rsidRPr="008173C7">
        <w:rPr>
          <w:rFonts w:cs="Times New Roman"/>
          <w:lang w:val="en-US"/>
        </w:rPr>
        <w:t xml:space="preserve"> to go beyond scientific and economic impacts and to consider the diversity of research impacts (environmental, social, political, etc.)</w:t>
      </w:r>
      <w:r w:rsidR="00561ED9" w:rsidRPr="008173C7">
        <w:rPr>
          <w:rFonts w:cs="Times New Roman"/>
          <w:lang w:val="en-US"/>
        </w:rPr>
        <w:t xml:space="preserve"> seriously</w:t>
      </w:r>
      <w:r w:rsidR="004C2CEA" w:rsidRPr="008173C7">
        <w:rPr>
          <w:rFonts w:cs="Times New Roman"/>
          <w:lang w:val="en-US"/>
        </w:rPr>
        <w:t xml:space="preserve"> </w:t>
      </w:r>
      <w:r w:rsidR="004C2CEA" w:rsidRPr="008173C7">
        <w:rPr>
          <w:rFonts w:cs="Times New Roman"/>
          <w:lang w:val="en-US"/>
        </w:rPr>
        <w:fldChar w:fldCharType="begin"/>
      </w:r>
      <w:r w:rsidR="00DA7E42">
        <w:rPr>
          <w:rFonts w:cs="Times New Roman"/>
          <w:lang w:val="en-US"/>
        </w:rPr>
        <w:instrText xml:space="preserve"> ADDIN ZOTERO_ITEM CSL_CITATION {"citationID":"b472ri9dn","properties":{"formattedCitation":"(Bornmann 2013; Bozeman et Sarewitz 2011)","plainCitation":"(Bornmann 2013; Bozeman et Sarewitz 2011)"},"citationItems":[{"id":417,"uris":["http://zotero.org/users/508422/items/U7XVWZPD"],"uri":["http://zotero.org/users/508422/items/U7XVWZPD"],"itemData":{"id":417,"type":"article-journal","title":"What is societal impact of research and how can it be assessed? a literature survey","container-title":"Journal of the American Society for Information Science and Technology","page":"217-233","volume":"64","issue":"2","author":[{"family":"Bornmann","given":"Lutz"}],"issued":{"date-parts":[["2013"]]}}},{"id":412,"uris":["http://zotero.org/users/508422/items/TV8XKJ9C"],"uri":["http://zotero.org/users/508422/items/TV8XKJ9C"],"itemData":{"id":412,"type":"article-journal","title":"Public Value Mapping and Science Policy Evaluation","container-title":"Minerva","page":"1-23","volume":"49","author":[{"family":"Bozeman","given":"Barry"},{"family":"Sarewitz","given":"D"}],"issued":{"date-parts":[["2011"]]}}}],"schema":"https://github.com/citation-style-language/schema/raw/master/csl-citation.json"} </w:instrText>
      </w:r>
      <w:r w:rsidR="004C2CEA" w:rsidRPr="008173C7">
        <w:rPr>
          <w:rFonts w:cs="Times New Roman"/>
          <w:lang w:val="en-US"/>
        </w:rPr>
        <w:fldChar w:fldCharType="separate"/>
      </w:r>
      <w:r w:rsidR="0016494E">
        <w:rPr>
          <w:rFonts w:cs="Times New Roman"/>
          <w:lang w:val="en-US"/>
        </w:rPr>
        <w:t>(Bornmann 2013; Bozeman and</w:t>
      </w:r>
      <w:r w:rsidR="00DA7E42" w:rsidRPr="00DA7E42">
        <w:rPr>
          <w:rFonts w:cs="Times New Roman"/>
          <w:lang w:val="en-US"/>
        </w:rPr>
        <w:t xml:space="preserve"> Sarewitz 2011)</w:t>
      </w:r>
      <w:r w:rsidR="004C2CEA" w:rsidRPr="008173C7">
        <w:rPr>
          <w:rFonts w:cs="Times New Roman"/>
          <w:lang w:val="en-US"/>
        </w:rPr>
        <w:fldChar w:fldCharType="end"/>
      </w:r>
      <w:r w:rsidR="004C2CEA" w:rsidRPr="008173C7">
        <w:rPr>
          <w:rFonts w:cs="Times New Roman"/>
          <w:lang w:val="en-US"/>
        </w:rPr>
        <w:t>.</w:t>
      </w:r>
      <w:r w:rsidR="006072B9" w:rsidRPr="008173C7">
        <w:rPr>
          <w:rFonts w:cs="Times New Roman"/>
          <w:lang w:val="en-US"/>
        </w:rPr>
        <w:t xml:space="preserve"> </w:t>
      </w:r>
      <w:r w:rsidR="00F0359F" w:rsidRPr="008173C7">
        <w:rPr>
          <w:rFonts w:cs="Times New Roman"/>
          <w:lang w:val="en-US"/>
        </w:rPr>
        <w:t>Overall</w:t>
      </w:r>
      <w:r w:rsidR="00561ED9" w:rsidRPr="008173C7">
        <w:rPr>
          <w:rFonts w:cs="Times New Roman"/>
          <w:lang w:val="en-US"/>
        </w:rPr>
        <w:t>,</w:t>
      </w:r>
      <w:r w:rsidR="00F0359F" w:rsidRPr="008173C7">
        <w:rPr>
          <w:rFonts w:cs="Times New Roman"/>
          <w:lang w:val="en-US"/>
        </w:rPr>
        <w:t xml:space="preserve"> it </w:t>
      </w:r>
      <w:r w:rsidR="00561ED9" w:rsidRPr="008173C7">
        <w:rPr>
          <w:rFonts w:cs="Times New Roman"/>
          <w:lang w:val="en-US"/>
        </w:rPr>
        <w:t xml:space="preserve">would </w:t>
      </w:r>
      <w:r w:rsidR="00F0359F" w:rsidRPr="008173C7">
        <w:rPr>
          <w:rFonts w:cs="Times New Roman"/>
          <w:lang w:val="en-US"/>
        </w:rPr>
        <w:t xml:space="preserve">not </w:t>
      </w:r>
      <w:r w:rsidR="00561ED9" w:rsidRPr="008173C7">
        <w:rPr>
          <w:rFonts w:cs="Times New Roman"/>
          <w:lang w:val="en-US"/>
        </w:rPr>
        <w:t xml:space="preserve">be an </w:t>
      </w:r>
      <w:r w:rsidR="00F0359F" w:rsidRPr="008173C7">
        <w:rPr>
          <w:rFonts w:cs="Times New Roman"/>
          <w:lang w:val="en-US"/>
        </w:rPr>
        <w:t>overstate</w:t>
      </w:r>
      <w:r w:rsidR="00561ED9" w:rsidRPr="008173C7">
        <w:rPr>
          <w:rFonts w:cs="Times New Roman"/>
          <w:lang w:val="en-US"/>
        </w:rPr>
        <w:t xml:space="preserve">ment to say </w:t>
      </w:r>
      <w:r w:rsidR="00F0359F" w:rsidRPr="008173C7">
        <w:rPr>
          <w:rFonts w:cs="Times New Roman"/>
          <w:lang w:val="en-US"/>
        </w:rPr>
        <w:t xml:space="preserve">that the </w:t>
      </w:r>
      <w:r w:rsidR="000440E4" w:rsidRPr="008173C7">
        <w:rPr>
          <w:rFonts w:cs="Times New Roman"/>
          <w:lang w:val="en-US"/>
        </w:rPr>
        <w:t>recent focus on societal impact</w:t>
      </w:r>
      <w:r w:rsidR="00F0359F" w:rsidRPr="008173C7">
        <w:rPr>
          <w:rFonts w:cs="Times New Roman"/>
          <w:lang w:val="en-US"/>
        </w:rPr>
        <w:t xml:space="preserve"> is a paradigm change</w:t>
      </w:r>
      <w:r w:rsidR="00561ED9" w:rsidRPr="008173C7">
        <w:rPr>
          <w:rFonts w:cs="Times New Roman"/>
          <w:lang w:val="en-US"/>
        </w:rPr>
        <w:t xml:space="preserve">. </w:t>
      </w:r>
      <w:r w:rsidR="0012713C" w:rsidRPr="008173C7">
        <w:rPr>
          <w:rFonts w:cs="Times New Roman"/>
          <w:lang w:val="en-US"/>
        </w:rPr>
        <w:t xml:space="preserve">These </w:t>
      </w:r>
      <w:r w:rsidR="0002141C" w:rsidRPr="008173C7">
        <w:rPr>
          <w:rFonts w:cs="Times New Roman"/>
          <w:lang w:val="en-US"/>
        </w:rPr>
        <w:t>r</w:t>
      </w:r>
      <w:r w:rsidR="00601729" w:rsidRPr="008173C7">
        <w:rPr>
          <w:rFonts w:cs="Times New Roman"/>
          <w:lang w:val="en-US"/>
        </w:rPr>
        <w:t xml:space="preserve">ecent </w:t>
      </w:r>
      <w:r w:rsidR="0012713C" w:rsidRPr="008173C7">
        <w:rPr>
          <w:rFonts w:cs="Times New Roman"/>
          <w:lang w:val="en-US"/>
        </w:rPr>
        <w:t xml:space="preserve">approaches of </w:t>
      </w:r>
      <w:r w:rsidR="00601729" w:rsidRPr="008173C7">
        <w:rPr>
          <w:rFonts w:cs="Times New Roman"/>
          <w:lang w:val="en-US"/>
        </w:rPr>
        <w:t>societal impact attempt to enter the black box of impact generating mechanisms in order to learn from the assessment rather than just</w:t>
      </w:r>
      <w:r w:rsidR="00B604F4" w:rsidRPr="008173C7">
        <w:rPr>
          <w:rFonts w:cs="Times New Roman"/>
          <w:lang w:val="en-US"/>
        </w:rPr>
        <w:t xml:space="preserve"> to</w:t>
      </w:r>
      <w:r w:rsidR="00601729" w:rsidRPr="008173C7">
        <w:rPr>
          <w:rFonts w:cs="Times New Roman"/>
          <w:lang w:val="en-US"/>
        </w:rPr>
        <w:t xml:space="preserve"> account for external control. </w:t>
      </w:r>
      <w:r w:rsidR="00D33E59" w:rsidRPr="008173C7">
        <w:rPr>
          <w:rFonts w:cs="Times New Roman"/>
          <w:lang w:val="en-US"/>
        </w:rPr>
        <w:t>T</w:t>
      </w:r>
      <w:r w:rsidR="006072B9" w:rsidRPr="008173C7">
        <w:rPr>
          <w:rFonts w:cs="Times New Roman"/>
          <w:lang w:val="en-US"/>
        </w:rPr>
        <w:t xml:space="preserve">he integration of impact case studies </w:t>
      </w:r>
      <w:r w:rsidR="00F0359F" w:rsidRPr="008173C7">
        <w:rPr>
          <w:rFonts w:cs="Times New Roman"/>
          <w:lang w:val="en-US"/>
        </w:rPr>
        <w:t>in the 2014 Resea</w:t>
      </w:r>
      <w:r w:rsidR="009D6A64" w:rsidRPr="008173C7">
        <w:rPr>
          <w:rFonts w:cs="Times New Roman"/>
          <w:lang w:val="en-US"/>
        </w:rPr>
        <w:t>rch Excellence Framework</w:t>
      </w:r>
      <w:r w:rsidR="00F0359F" w:rsidRPr="008173C7">
        <w:rPr>
          <w:rFonts w:cs="Times New Roman"/>
          <w:lang w:val="en-US"/>
        </w:rPr>
        <w:t xml:space="preserve"> (REF)</w:t>
      </w:r>
      <w:r w:rsidR="00561ED9" w:rsidRPr="008173C7">
        <w:rPr>
          <w:rFonts w:cs="Times New Roman"/>
          <w:lang w:val="en-US"/>
        </w:rPr>
        <w:t xml:space="preserve"> exercise</w:t>
      </w:r>
      <w:r w:rsidR="00F0359F" w:rsidRPr="008173C7">
        <w:rPr>
          <w:rFonts w:cs="Times New Roman"/>
          <w:lang w:val="en-US"/>
        </w:rPr>
        <w:t xml:space="preserve"> is a landmark example of </w:t>
      </w:r>
      <w:r w:rsidR="00561ED9" w:rsidRPr="008173C7">
        <w:rPr>
          <w:rFonts w:cs="Times New Roman"/>
          <w:lang w:val="en-US"/>
        </w:rPr>
        <w:t xml:space="preserve">this </w:t>
      </w:r>
      <w:r w:rsidR="009D6A64" w:rsidRPr="008173C7">
        <w:rPr>
          <w:rFonts w:cs="Times New Roman"/>
          <w:lang w:val="en-US"/>
        </w:rPr>
        <w:t>shift</w:t>
      </w:r>
      <w:r w:rsidR="00877548" w:rsidRPr="008173C7">
        <w:rPr>
          <w:rFonts w:cs="Times New Roman"/>
          <w:lang w:val="en-US"/>
        </w:rPr>
        <w:t xml:space="preserve"> </w:t>
      </w:r>
      <w:r w:rsidR="00DA7E42" w:rsidRPr="00DA7E42">
        <w:rPr>
          <w:rFonts w:cs="Times New Roman"/>
          <w:lang w:val="en-US"/>
        </w:rPr>
        <w:t>(Hill 2016)</w:t>
      </w:r>
      <w:r w:rsidR="00877548" w:rsidRPr="008173C7">
        <w:rPr>
          <w:rFonts w:cs="Times New Roman"/>
          <w:lang w:val="en-US"/>
        </w:rPr>
        <w:t>.</w:t>
      </w:r>
      <w:r w:rsidR="009D6A64" w:rsidRPr="008173C7">
        <w:rPr>
          <w:rFonts w:cs="Times New Roman"/>
          <w:lang w:val="en-US"/>
        </w:rPr>
        <w:t xml:space="preserve"> The approaches </w:t>
      </w:r>
      <w:r w:rsidR="00561ED9" w:rsidRPr="008173C7">
        <w:rPr>
          <w:rFonts w:cs="Times New Roman"/>
          <w:lang w:val="en-US"/>
        </w:rPr>
        <w:t xml:space="preserve">to </w:t>
      </w:r>
      <w:r w:rsidR="009D6A64" w:rsidRPr="008173C7">
        <w:rPr>
          <w:rFonts w:cs="Times New Roman"/>
          <w:lang w:val="en-US"/>
        </w:rPr>
        <w:t xml:space="preserve">impact have been discussed </w:t>
      </w:r>
      <w:r w:rsidR="00561ED9" w:rsidRPr="008173C7">
        <w:rPr>
          <w:rFonts w:cs="Times New Roman"/>
          <w:lang w:val="en-US"/>
        </w:rPr>
        <w:t xml:space="preserve">by </w:t>
      </w:r>
      <w:r w:rsidR="009D6A64" w:rsidRPr="008173C7">
        <w:rPr>
          <w:rFonts w:cs="Times New Roman"/>
          <w:lang w:val="en-US"/>
        </w:rPr>
        <w:t xml:space="preserve">major European organizations </w:t>
      </w:r>
      <w:r w:rsidR="00661718" w:rsidRPr="008173C7">
        <w:rPr>
          <w:rFonts w:cs="Times New Roman"/>
          <w:lang w:val="en-US"/>
        </w:rPr>
        <w:t>including Science Europe (the association of European research performing organizations and research funding agencies) and LERU (League of European Research Universities)</w:t>
      </w:r>
      <w:r w:rsidR="005E22FD" w:rsidRPr="008173C7">
        <w:rPr>
          <w:rFonts w:cs="Times New Roman"/>
          <w:lang w:val="en-US"/>
        </w:rPr>
        <w:t xml:space="preserve"> which have published Position Papers on the topic</w:t>
      </w:r>
      <w:r w:rsidR="00661718" w:rsidRPr="008173C7">
        <w:rPr>
          <w:rFonts w:cs="Times New Roman"/>
          <w:lang w:val="en-US"/>
        </w:rPr>
        <w:t>.</w:t>
      </w:r>
    </w:p>
    <w:p w14:paraId="7ED49439" w14:textId="6E9DBC7B" w:rsidR="00661718" w:rsidRPr="008173C7" w:rsidRDefault="00661718" w:rsidP="000401BB">
      <w:pPr>
        <w:spacing w:line="480" w:lineRule="auto"/>
        <w:rPr>
          <w:rFonts w:cs="Times New Roman"/>
          <w:lang w:val="en-US"/>
        </w:rPr>
      </w:pPr>
      <w:r w:rsidRPr="008173C7">
        <w:rPr>
          <w:rFonts w:cs="Times New Roman"/>
          <w:lang w:val="en-US"/>
        </w:rPr>
        <w:t xml:space="preserve">In this changing context, one </w:t>
      </w:r>
      <w:r w:rsidR="005A6B31" w:rsidRPr="008173C7">
        <w:rPr>
          <w:rFonts w:cs="Times New Roman"/>
          <w:lang w:val="en-US"/>
        </w:rPr>
        <w:t xml:space="preserve">issue </w:t>
      </w:r>
      <w:r w:rsidR="005E22FD" w:rsidRPr="008173C7">
        <w:rPr>
          <w:rFonts w:cs="Times New Roman"/>
          <w:lang w:val="en-US"/>
        </w:rPr>
        <w:t xml:space="preserve">that arises </w:t>
      </w:r>
      <w:r w:rsidRPr="008173C7">
        <w:rPr>
          <w:rFonts w:cs="Times New Roman"/>
          <w:lang w:val="en-US"/>
        </w:rPr>
        <w:t xml:space="preserve">is the extent to which it is necessary to </w:t>
      </w:r>
      <w:r w:rsidR="00D50439" w:rsidRPr="008173C7">
        <w:rPr>
          <w:rFonts w:cs="Times New Roman"/>
          <w:lang w:val="en-US"/>
        </w:rPr>
        <w:t xml:space="preserve">quantify </w:t>
      </w:r>
      <w:r w:rsidRPr="008173C7">
        <w:rPr>
          <w:rFonts w:cs="Times New Roman"/>
          <w:lang w:val="en-US"/>
        </w:rPr>
        <w:t xml:space="preserve">impacts. </w:t>
      </w:r>
      <w:r w:rsidR="004141F2" w:rsidRPr="008173C7">
        <w:rPr>
          <w:rFonts w:cs="Times New Roman"/>
          <w:lang w:val="en-US"/>
        </w:rPr>
        <w:t>On</w:t>
      </w:r>
      <w:r w:rsidR="005E22FD" w:rsidRPr="008173C7">
        <w:rPr>
          <w:rFonts w:cs="Times New Roman"/>
          <w:lang w:val="en-US"/>
        </w:rPr>
        <w:t xml:space="preserve"> the</w:t>
      </w:r>
      <w:r w:rsidR="004141F2" w:rsidRPr="008173C7">
        <w:rPr>
          <w:rFonts w:cs="Times New Roman"/>
          <w:lang w:val="en-US"/>
        </w:rPr>
        <w:t xml:space="preserve"> one hand</w:t>
      </w:r>
      <w:r w:rsidR="001D1915" w:rsidRPr="008173C7">
        <w:rPr>
          <w:rFonts w:cs="Times New Roman"/>
          <w:lang w:val="en-US"/>
        </w:rPr>
        <w:t>,</w:t>
      </w:r>
      <w:r w:rsidR="005E22FD" w:rsidRPr="008173C7">
        <w:rPr>
          <w:rFonts w:cs="Times New Roman"/>
          <w:lang w:val="en-US"/>
        </w:rPr>
        <w:t xml:space="preserve"> there could be concern </w:t>
      </w:r>
      <w:r w:rsidR="004141F2" w:rsidRPr="008173C7">
        <w:rPr>
          <w:rFonts w:cs="Times New Roman"/>
          <w:lang w:val="en-US"/>
        </w:rPr>
        <w:t>that putting numbers on complex issues such as political, social or environmental impa</w:t>
      </w:r>
      <w:r w:rsidR="00554F3E" w:rsidRPr="008173C7">
        <w:rPr>
          <w:rFonts w:cs="Times New Roman"/>
          <w:lang w:val="en-US"/>
        </w:rPr>
        <w:t xml:space="preserve">ct </w:t>
      </w:r>
      <w:r w:rsidR="005E22FD" w:rsidRPr="008173C7">
        <w:rPr>
          <w:rFonts w:cs="Times New Roman"/>
          <w:lang w:val="en-US"/>
        </w:rPr>
        <w:t xml:space="preserve">could </w:t>
      </w:r>
      <w:r w:rsidR="00554F3E" w:rsidRPr="008173C7">
        <w:rPr>
          <w:rFonts w:cs="Times New Roman"/>
          <w:lang w:val="en-US"/>
        </w:rPr>
        <w:t xml:space="preserve">lead to a narrow and reductionist approach. </w:t>
      </w:r>
      <w:r w:rsidR="00C3193B" w:rsidRPr="008173C7">
        <w:rPr>
          <w:rFonts w:cs="Times New Roman"/>
          <w:lang w:val="en-US"/>
        </w:rPr>
        <w:t>On the other hand</w:t>
      </w:r>
      <w:r w:rsidR="001D1915" w:rsidRPr="008173C7">
        <w:rPr>
          <w:rFonts w:cs="Times New Roman"/>
          <w:lang w:val="en-US"/>
        </w:rPr>
        <w:t>,</w:t>
      </w:r>
      <w:r w:rsidR="005E22FD" w:rsidRPr="008173C7">
        <w:rPr>
          <w:rFonts w:cs="Times New Roman"/>
          <w:lang w:val="en-US"/>
        </w:rPr>
        <w:t xml:space="preserve"> since </w:t>
      </w:r>
      <w:r w:rsidR="00C3193B" w:rsidRPr="008173C7">
        <w:rPr>
          <w:rFonts w:cs="Times New Roman"/>
          <w:lang w:val="en-US"/>
        </w:rPr>
        <w:t>decision makers trust numbers (Porter 199</w:t>
      </w:r>
      <w:r w:rsidR="00A7209C" w:rsidRPr="008173C7">
        <w:rPr>
          <w:rFonts w:cs="Times New Roman"/>
          <w:lang w:val="en-US"/>
        </w:rPr>
        <w:t>6</w:t>
      </w:r>
      <w:r w:rsidR="00C3193B" w:rsidRPr="008173C7">
        <w:rPr>
          <w:rFonts w:cs="Times New Roman"/>
          <w:lang w:val="en-US"/>
        </w:rPr>
        <w:t xml:space="preserve">), failure to provide any type of quantification </w:t>
      </w:r>
      <w:r w:rsidR="005E22FD" w:rsidRPr="008173C7">
        <w:rPr>
          <w:rFonts w:cs="Times New Roman"/>
          <w:lang w:val="en-US"/>
        </w:rPr>
        <w:t xml:space="preserve">could result in </w:t>
      </w:r>
      <w:r w:rsidR="00C3193B" w:rsidRPr="008173C7">
        <w:rPr>
          <w:rFonts w:cs="Times New Roman"/>
          <w:lang w:val="en-US"/>
        </w:rPr>
        <w:t xml:space="preserve">these impacts </w:t>
      </w:r>
      <w:r w:rsidR="005E22FD" w:rsidRPr="008173C7">
        <w:rPr>
          <w:rFonts w:cs="Times New Roman"/>
          <w:lang w:val="en-US"/>
        </w:rPr>
        <w:t xml:space="preserve">being </w:t>
      </w:r>
      <w:r w:rsidR="00C3193B" w:rsidRPr="008173C7">
        <w:rPr>
          <w:rFonts w:cs="Times New Roman"/>
          <w:lang w:val="en-US"/>
        </w:rPr>
        <w:t xml:space="preserve">overlooked. In this paper, we </w:t>
      </w:r>
      <w:r w:rsidR="005E22FD" w:rsidRPr="008173C7">
        <w:rPr>
          <w:rFonts w:cs="Times New Roman"/>
          <w:lang w:val="en-US"/>
        </w:rPr>
        <w:t>are concerned more about the latter possibility</w:t>
      </w:r>
      <w:r w:rsidR="00C3193B" w:rsidRPr="008173C7">
        <w:rPr>
          <w:rFonts w:cs="Times New Roman"/>
          <w:lang w:val="en-US"/>
        </w:rPr>
        <w:t xml:space="preserve">. </w:t>
      </w:r>
      <w:r w:rsidR="005E22FD" w:rsidRPr="008173C7">
        <w:rPr>
          <w:rFonts w:cs="Times New Roman"/>
          <w:lang w:val="en-US"/>
        </w:rPr>
        <w:t xml:space="preserve">Having acknowledged that there are sound reasons to conduct quantification of impact, </w:t>
      </w:r>
      <w:r w:rsidR="00C3193B" w:rsidRPr="008173C7">
        <w:rPr>
          <w:rFonts w:cs="Times New Roman"/>
          <w:lang w:val="en-US"/>
        </w:rPr>
        <w:t xml:space="preserve">the </w:t>
      </w:r>
      <w:r w:rsidR="005E22FD" w:rsidRPr="008173C7">
        <w:rPr>
          <w:rFonts w:cs="Times New Roman"/>
          <w:lang w:val="en-US"/>
        </w:rPr>
        <w:t xml:space="preserve">fundamental </w:t>
      </w:r>
      <w:r w:rsidR="00C3193B" w:rsidRPr="008173C7">
        <w:rPr>
          <w:rFonts w:cs="Times New Roman"/>
          <w:lang w:val="en-US"/>
        </w:rPr>
        <w:t>issue is how to design a</w:t>
      </w:r>
      <w:r w:rsidR="005E22FD" w:rsidRPr="008173C7">
        <w:rPr>
          <w:rFonts w:cs="Times New Roman"/>
          <w:lang w:val="en-US"/>
        </w:rPr>
        <w:t>n impact</w:t>
      </w:r>
      <w:r w:rsidR="00C3193B" w:rsidRPr="008173C7">
        <w:rPr>
          <w:rFonts w:cs="Times New Roman"/>
          <w:lang w:val="en-US"/>
        </w:rPr>
        <w:t xml:space="preserve"> metric </w:t>
      </w:r>
      <w:r w:rsidR="005E22FD" w:rsidRPr="008173C7">
        <w:rPr>
          <w:rFonts w:cs="Times New Roman"/>
          <w:lang w:val="en-US"/>
        </w:rPr>
        <w:t xml:space="preserve">which rather than leading </w:t>
      </w:r>
      <w:r w:rsidR="00C3193B" w:rsidRPr="008173C7">
        <w:rPr>
          <w:rFonts w:cs="Times New Roman"/>
          <w:lang w:val="en-US"/>
        </w:rPr>
        <w:t>to a reductionist approach provides a</w:t>
      </w:r>
      <w:r w:rsidR="005E22FD" w:rsidRPr="008173C7">
        <w:rPr>
          <w:rFonts w:cs="Times New Roman"/>
          <w:lang w:val="en-US"/>
        </w:rPr>
        <w:t>n enriching</w:t>
      </w:r>
      <w:r w:rsidR="00C3193B" w:rsidRPr="008173C7">
        <w:rPr>
          <w:rFonts w:cs="Times New Roman"/>
          <w:lang w:val="en-US"/>
        </w:rPr>
        <w:t xml:space="preserve"> heuristic</w:t>
      </w:r>
      <w:r w:rsidR="00200BEC" w:rsidRPr="008173C7">
        <w:rPr>
          <w:rFonts w:cs="Times New Roman"/>
          <w:lang w:val="en-US"/>
        </w:rPr>
        <w:t xml:space="preserve">. </w:t>
      </w:r>
      <w:r w:rsidR="005E22FD" w:rsidRPr="008173C7">
        <w:rPr>
          <w:rFonts w:cs="Times New Roman"/>
          <w:lang w:val="en-US"/>
        </w:rPr>
        <w:t>Quantification t</w:t>
      </w:r>
      <w:r w:rsidR="00200BEC" w:rsidRPr="008173C7">
        <w:rPr>
          <w:rFonts w:cs="Times New Roman"/>
          <w:lang w:val="en-US"/>
        </w:rPr>
        <w:t>echnologies have different social and political properties (Power 199</w:t>
      </w:r>
      <w:r w:rsidR="00A7209C" w:rsidRPr="008173C7">
        <w:rPr>
          <w:rFonts w:cs="Times New Roman"/>
          <w:lang w:val="en-US"/>
        </w:rPr>
        <w:t>4</w:t>
      </w:r>
      <w:r w:rsidR="00200BEC" w:rsidRPr="008173C7">
        <w:rPr>
          <w:rFonts w:cs="Times New Roman"/>
          <w:lang w:val="en-US"/>
        </w:rPr>
        <w:t xml:space="preserve">), and it is possible to design </w:t>
      </w:r>
      <w:r w:rsidR="00D50439" w:rsidRPr="008173C7">
        <w:rPr>
          <w:rFonts w:cs="Times New Roman"/>
          <w:lang w:val="en-US"/>
        </w:rPr>
        <w:t xml:space="preserve">assessment </w:t>
      </w:r>
      <w:r w:rsidR="00200BEC" w:rsidRPr="008173C7">
        <w:rPr>
          <w:rFonts w:cs="Times New Roman"/>
          <w:lang w:val="en-US"/>
        </w:rPr>
        <w:t xml:space="preserve">systems that reduce the risk of </w:t>
      </w:r>
      <w:r w:rsidR="005E22FD" w:rsidRPr="008173C7">
        <w:rPr>
          <w:rFonts w:cs="Times New Roman"/>
          <w:lang w:val="en-US"/>
        </w:rPr>
        <w:t xml:space="preserve">their </w:t>
      </w:r>
      <w:r w:rsidR="00200BEC" w:rsidRPr="008173C7">
        <w:rPr>
          <w:rFonts w:cs="Times New Roman"/>
          <w:lang w:val="en-US"/>
        </w:rPr>
        <w:t xml:space="preserve">misuse </w:t>
      </w:r>
      <w:r w:rsidR="00DA7E42" w:rsidRPr="00DA7E42">
        <w:rPr>
          <w:rFonts w:cs="Times New Roman"/>
          <w:lang w:val="en-US"/>
        </w:rPr>
        <w:t>(Paradeise 2012; Stirling 1997)</w:t>
      </w:r>
      <w:r w:rsidR="00BA62B3" w:rsidRPr="008173C7">
        <w:rPr>
          <w:rFonts w:cs="Times New Roman"/>
          <w:lang w:val="en-US"/>
        </w:rPr>
        <w:t>.</w:t>
      </w:r>
    </w:p>
    <w:p w14:paraId="106C2C96" w14:textId="5C9CE363" w:rsidR="00EB3AB6" w:rsidRPr="008173C7" w:rsidRDefault="005E22FD" w:rsidP="000401BB">
      <w:pPr>
        <w:spacing w:line="480" w:lineRule="auto"/>
        <w:rPr>
          <w:rFonts w:cs="Times New Roman"/>
          <w:lang w:val="en-GB"/>
        </w:rPr>
      </w:pPr>
      <w:r w:rsidRPr="008173C7">
        <w:rPr>
          <w:rFonts w:cs="Times New Roman"/>
          <w:lang w:val="en-GB"/>
        </w:rPr>
        <w:t xml:space="preserve">This </w:t>
      </w:r>
      <w:r w:rsidR="00704FA5" w:rsidRPr="008173C7">
        <w:rPr>
          <w:rFonts w:cs="Times New Roman"/>
          <w:lang w:val="en-GB"/>
        </w:rPr>
        <w:t>paper</w:t>
      </w:r>
      <w:r w:rsidR="001D1915" w:rsidRPr="008173C7">
        <w:rPr>
          <w:rFonts w:cs="Times New Roman"/>
          <w:lang w:val="en-GB"/>
        </w:rPr>
        <w:t xml:space="preserve"> </w:t>
      </w:r>
      <w:r w:rsidRPr="008173C7">
        <w:rPr>
          <w:rFonts w:cs="Times New Roman"/>
          <w:lang w:val="en-GB"/>
        </w:rPr>
        <w:t xml:space="preserve">proposes </w:t>
      </w:r>
      <w:r w:rsidR="00704FA5" w:rsidRPr="008173C7">
        <w:rPr>
          <w:rFonts w:cs="Times New Roman"/>
          <w:lang w:val="en-GB"/>
        </w:rPr>
        <w:t xml:space="preserve">a metrology </w:t>
      </w:r>
      <w:r w:rsidR="00FA40B4" w:rsidRPr="008173C7">
        <w:rPr>
          <w:rFonts w:cs="Times New Roman"/>
          <w:lang w:val="en-GB"/>
        </w:rPr>
        <w:t xml:space="preserve">framework </w:t>
      </w:r>
      <w:r w:rsidRPr="008173C7">
        <w:rPr>
          <w:rFonts w:cs="Times New Roman"/>
          <w:lang w:val="en-GB"/>
        </w:rPr>
        <w:t xml:space="preserve">to </w:t>
      </w:r>
      <w:r w:rsidR="00361A7B" w:rsidRPr="008173C7">
        <w:rPr>
          <w:rFonts w:cs="Times New Roman"/>
          <w:lang w:val="en-GB"/>
        </w:rPr>
        <w:t>quantify</w:t>
      </w:r>
      <w:r w:rsidRPr="008173C7">
        <w:rPr>
          <w:rFonts w:cs="Times New Roman"/>
          <w:lang w:val="en-GB"/>
        </w:rPr>
        <w:t xml:space="preserve"> the </w:t>
      </w:r>
      <w:r w:rsidR="00704FA5" w:rsidRPr="008173C7">
        <w:rPr>
          <w:rFonts w:cs="Times New Roman"/>
          <w:lang w:val="en-GB"/>
        </w:rPr>
        <w:t xml:space="preserve">impact of research on policy making. This </w:t>
      </w:r>
      <w:r w:rsidRPr="008173C7">
        <w:rPr>
          <w:rFonts w:cs="Times New Roman"/>
          <w:lang w:val="en-GB"/>
        </w:rPr>
        <w:t xml:space="preserve">study </w:t>
      </w:r>
      <w:r w:rsidR="00704FA5" w:rsidRPr="008173C7">
        <w:rPr>
          <w:rFonts w:cs="Times New Roman"/>
          <w:lang w:val="en-GB"/>
        </w:rPr>
        <w:t>is part of</w:t>
      </w:r>
      <w:r w:rsidR="00EB3AB6" w:rsidRPr="008173C7">
        <w:rPr>
          <w:rFonts w:cs="Times New Roman"/>
          <w:lang w:val="en-GB"/>
        </w:rPr>
        <w:t xml:space="preserve"> the ASIRPA</w:t>
      </w:r>
      <w:r w:rsidR="00704FA5" w:rsidRPr="008173C7">
        <w:rPr>
          <w:rFonts w:cs="Times New Roman"/>
          <w:lang w:val="en-GB"/>
        </w:rPr>
        <w:t xml:space="preserve"> project </w:t>
      </w:r>
      <w:r w:rsidRPr="008173C7">
        <w:rPr>
          <w:rFonts w:cs="Times New Roman"/>
          <w:lang w:val="en-GB"/>
        </w:rPr>
        <w:t xml:space="preserve">which aims to </w:t>
      </w:r>
      <w:r w:rsidR="00704FA5" w:rsidRPr="008173C7">
        <w:rPr>
          <w:rFonts w:cs="Times New Roman"/>
          <w:lang w:val="en-GB"/>
        </w:rPr>
        <w:t xml:space="preserve">design an approach </w:t>
      </w:r>
      <w:r w:rsidRPr="008173C7">
        <w:rPr>
          <w:rFonts w:cs="Times New Roman"/>
          <w:lang w:val="en-GB"/>
        </w:rPr>
        <w:t xml:space="preserve">to the </w:t>
      </w:r>
      <w:r w:rsidR="00704FA5" w:rsidRPr="008173C7">
        <w:rPr>
          <w:rFonts w:cs="Times New Roman"/>
          <w:lang w:val="en-GB"/>
        </w:rPr>
        <w:t xml:space="preserve">ex post assessment of </w:t>
      </w:r>
      <w:r w:rsidRPr="008173C7">
        <w:rPr>
          <w:rFonts w:cs="Times New Roman"/>
          <w:lang w:val="en-GB"/>
        </w:rPr>
        <w:t xml:space="preserve">the </w:t>
      </w:r>
      <w:r w:rsidR="00704FA5" w:rsidRPr="008173C7">
        <w:rPr>
          <w:rFonts w:cs="Times New Roman"/>
          <w:lang w:val="en-GB"/>
        </w:rPr>
        <w:t>societal impact of research</w:t>
      </w:r>
      <w:r w:rsidR="00EB3AB6" w:rsidRPr="008173C7">
        <w:rPr>
          <w:rFonts w:cs="Times New Roman"/>
          <w:lang w:val="en-GB"/>
        </w:rPr>
        <w:t xml:space="preserve"> (Cf. Inset 1)</w:t>
      </w:r>
      <w:r w:rsidR="00704FA5" w:rsidRPr="008173C7">
        <w:rPr>
          <w:rFonts w:cs="Times New Roman"/>
          <w:lang w:val="en-GB"/>
        </w:rPr>
        <w:t>.</w:t>
      </w:r>
      <w:r w:rsidR="00EB3AB6" w:rsidRPr="008173C7">
        <w:rPr>
          <w:rFonts w:cs="Times New Roman"/>
          <w:lang w:val="en-GB"/>
        </w:rPr>
        <w:t xml:space="preserve"> </w:t>
      </w:r>
      <w:r w:rsidR="00571C97" w:rsidRPr="008173C7">
        <w:rPr>
          <w:rFonts w:cs="Times New Roman"/>
          <w:lang w:val="en-GB"/>
        </w:rPr>
        <w:t xml:space="preserve">This case-study based </w:t>
      </w:r>
      <w:r w:rsidR="00EB3AB6" w:rsidRPr="008173C7">
        <w:rPr>
          <w:rFonts w:cs="Times New Roman"/>
          <w:lang w:val="en-GB"/>
        </w:rPr>
        <w:t xml:space="preserve">approach has </w:t>
      </w:r>
      <w:r w:rsidR="00F22FAD" w:rsidRPr="008173C7">
        <w:rPr>
          <w:rFonts w:cs="Times New Roman"/>
          <w:lang w:val="en-GB"/>
        </w:rPr>
        <w:t xml:space="preserve">three </w:t>
      </w:r>
      <w:r w:rsidR="00EB3AB6" w:rsidRPr="008173C7">
        <w:rPr>
          <w:rFonts w:cs="Times New Roman"/>
          <w:lang w:val="en-GB"/>
        </w:rPr>
        <w:t xml:space="preserve">main objectives: (i) </w:t>
      </w:r>
      <w:r w:rsidR="00F22FAD" w:rsidRPr="008173C7">
        <w:rPr>
          <w:rFonts w:cs="Times New Roman"/>
          <w:lang w:val="en-GB"/>
        </w:rPr>
        <w:t xml:space="preserve">to </w:t>
      </w:r>
      <w:r w:rsidR="00EB3AB6" w:rsidRPr="008173C7">
        <w:rPr>
          <w:rFonts w:cs="Times New Roman"/>
          <w:lang w:val="en-GB"/>
        </w:rPr>
        <w:t>improve understanding of the mechanisms that generate research impact</w:t>
      </w:r>
      <w:r w:rsidR="00E14A7C" w:rsidRPr="008173C7">
        <w:rPr>
          <w:rFonts w:cs="Times New Roman"/>
          <w:lang w:val="en-GB"/>
        </w:rPr>
        <w:t>,</w:t>
      </w:r>
      <w:r w:rsidR="00EB3AB6" w:rsidRPr="008173C7">
        <w:rPr>
          <w:rFonts w:cs="Times New Roman"/>
          <w:lang w:val="en-GB"/>
        </w:rPr>
        <w:t xml:space="preserve"> in order to foster learning; (ii) </w:t>
      </w:r>
      <w:r w:rsidR="00DB6B6E" w:rsidRPr="008173C7">
        <w:rPr>
          <w:rFonts w:cs="Times New Roman"/>
          <w:lang w:val="en-US"/>
        </w:rPr>
        <w:t xml:space="preserve">to </w:t>
      </w:r>
      <w:r w:rsidR="00BA62B3" w:rsidRPr="008173C7">
        <w:rPr>
          <w:rFonts w:cs="Times New Roman"/>
          <w:lang w:val="en-US"/>
        </w:rPr>
        <w:t>adapt</w:t>
      </w:r>
      <w:r w:rsidR="00DB6B6E" w:rsidRPr="008173C7">
        <w:rPr>
          <w:rFonts w:cs="Times New Roman"/>
          <w:lang w:val="en-US"/>
        </w:rPr>
        <w:t xml:space="preserve"> impact assessment to various institutional scales </w:t>
      </w:r>
      <w:r w:rsidR="00EB3AB6" w:rsidRPr="008173C7">
        <w:rPr>
          <w:rFonts w:cs="Times New Roman"/>
          <w:lang w:val="en-GB"/>
        </w:rPr>
        <w:t>(</w:t>
      </w:r>
      <w:r w:rsidR="0000358F" w:rsidRPr="008173C7">
        <w:rPr>
          <w:rFonts w:cs="Times New Roman"/>
          <w:lang w:val="en-GB"/>
        </w:rPr>
        <w:t xml:space="preserve">research team, research division, </w:t>
      </w:r>
      <w:r w:rsidR="00EB3AB6" w:rsidRPr="008173C7">
        <w:rPr>
          <w:rFonts w:cs="Times New Roman"/>
          <w:lang w:val="en-GB"/>
        </w:rPr>
        <w:t>research organization)</w:t>
      </w:r>
      <w:r w:rsidR="000C7D5B" w:rsidRPr="008173C7">
        <w:rPr>
          <w:rFonts w:cs="Times New Roman"/>
          <w:lang w:val="en-GB"/>
        </w:rPr>
        <w:t xml:space="preserve"> through cross-cutting case analysis</w:t>
      </w:r>
      <w:r w:rsidR="00F22FAD" w:rsidRPr="008173C7">
        <w:rPr>
          <w:rFonts w:cs="Times New Roman"/>
          <w:lang w:val="en-GB"/>
        </w:rPr>
        <w:t>;</w:t>
      </w:r>
      <w:r w:rsidR="00E14A7C" w:rsidRPr="008173C7">
        <w:rPr>
          <w:rFonts w:cs="Times New Roman"/>
          <w:lang w:val="en-GB"/>
        </w:rPr>
        <w:t xml:space="preserve"> and</w:t>
      </w:r>
      <w:r w:rsidR="00F22FAD" w:rsidRPr="008173C7">
        <w:rPr>
          <w:rFonts w:cs="Times New Roman"/>
          <w:lang w:val="en-GB"/>
        </w:rPr>
        <w:t xml:space="preserve"> (iii) to account for the multidimensionality of impact</w:t>
      </w:r>
      <w:r w:rsidR="00EB3AB6" w:rsidRPr="008173C7">
        <w:rPr>
          <w:rFonts w:cs="Times New Roman"/>
          <w:lang w:val="en-GB"/>
        </w:rPr>
        <w:t>.</w:t>
      </w:r>
      <w:r w:rsidR="005B1B4E" w:rsidRPr="008173C7">
        <w:rPr>
          <w:rFonts w:cs="Times New Roman"/>
          <w:lang w:val="en-GB"/>
        </w:rPr>
        <w:t xml:space="preserve"> In this context, </w:t>
      </w:r>
      <w:r w:rsidR="0017215C" w:rsidRPr="008173C7">
        <w:rPr>
          <w:rFonts w:cs="Times New Roman"/>
          <w:lang w:val="en-US"/>
        </w:rPr>
        <w:t>t</w:t>
      </w:r>
      <w:r w:rsidR="0017215C" w:rsidRPr="008173C7">
        <w:rPr>
          <w:rFonts w:cs="Times New Roman"/>
          <w:lang w:val="en"/>
        </w:rPr>
        <w:t>he</w:t>
      </w:r>
      <w:r w:rsidR="005B1B4E" w:rsidRPr="008173C7">
        <w:rPr>
          <w:rFonts w:cs="Times New Roman"/>
          <w:lang w:val="en"/>
        </w:rPr>
        <w:t xml:space="preserve"> introduction of a metric </w:t>
      </w:r>
      <w:r w:rsidR="005B1B4E" w:rsidRPr="008173C7">
        <w:rPr>
          <w:rFonts w:cs="Times New Roman"/>
          <w:lang w:val="en"/>
        </w:rPr>
        <w:lastRenderedPageBreak/>
        <w:t>complements qualitative case study description, and allows comparison of impact intensities across cases thereby enriching the qualitative case study data. This opens a new direction for learning via transversal or typological analysis of impact pathways in the cases examined in ASIRPA. To achieve this requires all the cases to be rated using the same metric and at reasonable cost.</w:t>
      </w:r>
    </w:p>
    <w:p w14:paraId="20F72FF7" w14:textId="45F7D66B" w:rsidR="00EB3AB6" w:rsidRPr="008173C7" w:rsidRDefault="00EB3AB6" w:rsidP="000401BB">
      <w:pPr>
        <w:pBdr>
          <w:top w:val="single" w:sz="4" w:space="1" w:color="auto"/>
          <w:left w:val="single" w:sz="4" w:space="4" w:color="auto"/>
          <w:bottom w:val="single" w:sz="4" w:space="1" w:color="auto"/>
          <w:right w:val="single" w:sz="4" w:space="4" w:color="auto"/>
        </w:pBdr>
        <w:spacing w:line="480" w:lineRule="auto"/>
        <w:rPr>
          <w:rFonts w:cs="Times New Roman"/>
          <w:lang w:val="en-US"/>
        </w:rPr>
      </w:pPr>
      <w:r w:rsidRPr="008173C7">
        <w:rPr>
          <w:rFonts w:cs="Times New Roman"/>
          <w:lang w:val="en-US"/>
        </w:rPr>
        <w:t>Inset 1. The ASIRPA approach</w:t>
      </w:r>
    </w:p>
    <w:p w14:paraId="43DD2744" w14:textId="4CE24D09" w:rsidR="000440E4" w:rsidRPr="008173C7" w:rsidRDefault="000440E4" w:rsidP="000401BB">
      <w:pPr>
        <w:pBdr>
          <w:top w:val="single" w:sz="4" w:space="1" w:color="auto"/>
          <w:left w:val="single" w:sz="4" w:space="4" w:color="auto"/>
          <w:bottom w:val="single" w:sz="4" w:space="1" w:color="auto"/>
          <w:right w:val="single" w:sz="4" w:space="4" w:color="auto"/>
        </w:pBdr>
        <w:spacing w:line="480" w:lineRule="auto"/>
        <w:rPr>
          <w:rFonts w:cs="Times New Roman"/>
          <w:lang w:val="en-US"/>
        </w:rPr>
      </w:pPr>
      <w:r w:rsidRPr="008173C7">
        <w:rPr>
          <w:rFonts w:cs="Times New Roman"/>
          <w:lang w:val="en-US"/>
        </w:rPr>
        <w:t xml:space="preserve">The ASIRPA project developed a methodological approach based on standardized case studies to qualify and quantify the ex-post socioeconomic impacts of the research results generated by scientists </w:t>
      </w:r>
      <w:r w:rsidR="00E14A7C" w:rsidRPr="008173C7">
        <w:rPr>
          <w:rFonts w:cs="Times New Roman"/>
          <w:lang w:val="en-US"/>
        </w:rPr>
        <w:t xml:space="preserve">in </w:t>
      </w:r>
      <w:r w:rsidRPr="008173C7">
        <w:rPr>
          <w:rFonts w:cs="Times New Roman"/>
          <w:lang w:val="en-US"/>
        </w:rPr>
        <w:t xml:space="preserve">the French National Institute for Agricultural Research (INRA). </w:t>
      </w:r>
      <w:r w:rsidR="00501BB5" w:rsidRPr="008173C7">
        <w:rPr>
          <w:rFonts w:cs="Times New Roman"/>
          <w:lang w:val="en-US"/>
        </w:rPr>
        <w:t xml:space="preserve">A report and an executive summary (5-10 pages) were written for each case studied. </w:t>
      </w:r>
      <w:r w:rsidRPr="008173C7">
        <w:rPr>
          <w:rFonts w:cs="Times New Roman"/>
          <w:lang w:val="en"/>
        </w:rPr>
        <w:t xml:space="preserve">The standardization of case studies combines standardized narrative description of the different steps </w:t>
      </w:r>
      <w:r w:rsidR="00E14A7C" w:rsidRPr="008173C7">
        <w:rPr>
          <w:rFonts w:cs="Times New Roman"/>
          <w:lang w:val="en"/>
        </w:rPr>
        <w:t xml:space="preserve">in </w:t>
      </w:r>
      <w:r w:rsidRPr="008173C7">
        <w:rPr>
          <w:rFonts w:cs="Times New Roman"/>
          <w:lang w:val="en"/>
        </w:rPr>
        <w:t xml:space="preserve">an impact pathway (productive configuration, outputs, intermediaries and impacts) </w:t>
      </w:r>
      <w:r w:rsidR="00E14A7C" w:rsidRPr="008173C7">
        <w:rPr>
          <w:rFonts w:cs="Times New Roman"/>
          <w:lang w:val="en"/>
        </w:rPr>
        <w:t xml:space="preserve">with </w:t>
      </w:r>
      <w:r w:rsidRPr="008173C7">
        <w:rPr>
          <w:rFonts w:cs="Times New Roman"/>
          <w:lang w:val="en"/>
        </w:rPr>
        <w:t>three analytical tools (chronology, impact pathways and vector of impacts). The analysis is based on a theory of impact inspired by innovation studies</w:t>
      </w:r>
      <w:r w:rsidR="00E14A7C" w:rsidRPr="008173C7">
        <w:rPr>
          <w:rFonts w:cs="Times New Roman"/>
          <w:lang w:val="en"/>
        </w:rPr>
        <w:t>,</w:t>
      </w:r>
      <w:r w:rsidRPr="008173C7">
        <w:rPr>
          <w:rFonts w:cs="Times New Roman"/>
          <w:lang w:val="en"/>
        </w:rPr>
        <w:t xml:space="preserve"> and more particularly</w:t>
      </w:r>
      <w:r w:rsidR="00E14A7C" w:rsidRPr="008173C7">
        <w:rPr>
          <w:rFonts w:cs="Times New Roman"/>
          <w:lang w:val="en"/>
        </w:rPr>
        <w:t>,</w:t>
      </w:r>
      <w:r w:rsidRPr="008173C7">
        <w:rPr>
          <w:rFonts w:cs="Times New Roman"/>
          <w:lang w:val="en"/>
        </w:rPr>
        <w:t xml:space="preserve"> </w:t>
      </w:r>
      <w:r w:rsidR="00E14A7C" w:rsidRPr="008173C7">
        <w:rPr>
          <w:rFonts w:cs="Times New Roman"/>
          <w:lang w:val="en"/>
        </w:rPr>
        <w:t>a</w:t>
      </w:r>
      <w:r w:rsidRPr="008173C7">
        <w:rPr>
          <w:rFonts w:cs="Times New Roman"/>
          <w:lang w:val="en"/>
        </w:rPr>
        <w:t xml:space="preserve">ctor </w:t>
      </w:r>
      <w:r w:rsidR="00E14A7C" w:rsidRPr="008173C7">
        <w:rPr>
          <w:rFonts w:cs="Times New Roman"/>
          <w:lang w:val="en"/>
        </w:rPr>
        <w:t>n</w:t>
      </w:r>
      <w:r w:rsidRPr="008173C7">
        <w:rPr>
          <w:rFonts w:cs="Times New Roman"/>
          <w:lang w:val="en"/>
        </w:rPr>
        <w:t xml:space="preserve">etwork </w:t>
      </w:r>
      <w:r w:rsidR="00E14A7C" w:rsidRPr="008173C7">
        <w:rPr>
          <w:rFonts w:cs="Times New Roman"/>
          <w:lang w:val="en"/>
        </w:rPr>
        <w:t>t</w:t>
      </w:r>
      <w:r w:rsidRPr="008173C7">
        <w:rPr>
          <w:rFonts w:cs="Times New Roman"/>
          <w:lang w:val="en"/>
        </w:rPr>
        <w:t xml:space="preserve">heory </w:t>
      </w:r>
      <w:r w:rsidR="00DA7E42" w:rsidRPr="00DA7E42">
        <w:rPr>
          <w:rFonts w:cs="Times New Roman"/>
          <w:lang w:val="en-US"/>
        </w:rPr>
        <w:t>(Callon 1986)</w:t>
      </w:r>
      <w:r w:rsidRPr="008173C7">
        <w:rPr>
          <w:rFonts w:cs="Times New Roman"/>
          <w:lang w:val="en"/>
        </w:rPr>
        <w:t xml:space="preserve">. </w:t>
      </w:r>
      <w:r w:rsidR="00DB6B6E" w:rsidRPr="008173C7">
        <w:rPr>
          <w:rFonts w:cs="Times New Roman"/>
          <w:lang w:val="en-US"/>
        </w:rPr>
        <w:t xml:space="preserve">The ASIRPA team was meticulous in its design of the approach </w:t>
      </w:r>
      <w:r w:rsidR="00D0399D" w:rsidRPr="008173C7">
        <w:rPr>
          <w:rFonts w:cs="Times New Roman"/>
          <w:lang w:val="en-US"/>
        </w:rPr>
        <w:t xml:space="preserve">which is now </w:t>
      </w:r>
      <w:r w:rsidR="00DB6B6E" w:rsidRPr="008173C7">
        <w:rPr>
          <w:rFonts w:cs="Times New Roman"/>
          <w:lang w:val="en-US"/>
        </w:rPr>
        <w:t>implemented routinely by INRA research departments (4</w:t>
      </w:r>
      <w:r w:rsidR="00D0399D" w:rsidRPr="008173C7">
        <w:rPr>
          <w:rFonts w:cs="Times New Roman"/>
          <w:lang w:val="en-US"/>
        </w:rPr>
        <w:t xml:space="preserve">1 </w:t>
      </w:r>
      <w:r w:rsidR="00DB6B6E" w:rsidRPr="008173C7">
        <w:rPr>
          <w:rFonts w:cs="Times New Roman"/>
          <w:lang w:val="en-US"/>
        </w:rPr>
        <w:t xml:space="preserve">case studies had been completed by </w:t>
      </w:r>
      <w:r w:rsidR="0017215C" w:rsidRPr="008173C7">
        <w:rPr>
          <w:rFonts w:cs="Times New Roman"/>
          <w:lang w:val="en-US"/>
        </w:rPr>
        <w:t>mid-2017</w:t>
      </w:r>
      <w:r w:rsidR="00DB6B6E" w:rsidRPr="008173C7">
        <w:rPr>
          <w:rFonts w:cs="Times New Roman"/>
          <w:lang w:val="en-US"/>
        </w:rPr>
        <w:t>).</w:t>
      </w:r>
    </w:p>
    <w:p w14:paraId="16382F67" w14:textId="1432A3FA" w:rsidR="000440E4" w:rsidRPr="008173C7" w:rsidRDefault="000440E4" w:rsidP="000401BB">
      <w:pPr>
        <w:pBdr>
          <w:top w:val="single" w:sz="4" w:space="1" w:color="auto"/>
          <w:left w:val="single" w:sz="4" w:space="4" w:color="auto"/>
          <w:bottom w:val="single" w:sz="4" w:space="1" w:color="auto"/>
          <w:right w:val="single" w:sz="4" w:space="4" w:color="auto"/>
        </w:pBdr>
        <w:spacing w:line="480" w:lineRule="auto"/>
        <w:rPr>
          <w:rFonts w:cs="Times New Roman"/>
          <w:lang w:val="en"/>
        </w:rPr>
      </w:pPr>
      <w:r w:rsidRPr="008173C7">
        <w:rPr>
          <w:rFonts w:cs="Times New Roman"/>
          <w:lang w:val="en"/>
        </w:rPr>
        <w:t xml:space="preserve">A first objective of the ASIRPA methodology </w:t>
      </w:r>
      <w:r w:rsidR="00DA7E42" w:rsidRPr="00DA7E42">
        <w:rPr>
          <w:rFonts w:cs="Times New Roman"/>
          <w:lang w:val="en-US"/>
        </w:rPr>
        <w:t>(Joly et al. 2015)</w:t>
      </w:r>
      <w:r w:rsidRPr="008173C7">
        <w:rPr>
          <w:rFonts w:cs="Times New Roman"/>
          <w:lang w:val="en-US"/>
        </w:rPr>
        <w:t xml:space="preserve"> </w:t>
      </w:r>
      <w:r w:rsidRPr="008173C7">
        <w:rPr>
          <w:rFonts w:cs="Times New Roman"/>
          <w:lang w:val="en"/>
        </w:rPr>
        <w:t xml:space="preserve">is </w:t>
      </w:r>
      <w:r w:rsidR="00E14A7C" w:rsidRPr="008173C7">
        <w:rPr>
          <w:rFonts w:cs="Times New Roman"/>
          <w:lang w:val="en"/>
        </w:rPr>
        <w:t xml:space="preserve">related to </w:t>
      </w:r>
      <w:r w:rsidRPr="008173C7">
        <w:rPr>
          <w:rFonts w:cs="Times New Roman"/>
          <w:lang w:val="en"/>
        </w:rPr>
        <w:t xml:space="preserve">learning. </w:t>
      </w:r>
      <w:r w:rsidR="00E14A7C" w:rsidRPr="008173C7">
        <w:rPr>
          <w:rFonts w:cs="Times New Roman"/>
          <w:lang w:val="en"/>
        </w:rPr>
        <w:t xml:space="preserve">To </w:t>
      </w:r>
      <w:r w:rsidRPr="008173C7">
        <w:rPr>
          <w:rFonts w:cs="Times New Roman"/>
          <w:lang w:val="en"/>
        </w:rPr>
        <w:t xml:space="preserve">understand the mechanisms </w:t>
      </w:r>
      <w:r w:rsidR="00E14A7C" w:rsidRPr="008173C7">
        <w:rPr>
          <w:rFonts w:cs="Times New Roman"/>
          <w:lang w:val="en"/>
        </w:rPr>
        <w:t xml:space="preserve">that </w:t>
      </w:r>
      <w:r w:rsidRPr="008173C7">
        <w:rPr>
          <w:rFonts w:cs="Times New Roman"/>
          <w:lang w:val="en"/>
        </w:rPr>
        <w:t>generat</w:t>
      </w:r>
      <w:r w:rsidR="00E14A7C" w:rsidRPr="008173C7">
        <w:rPr>
          <w:rFonts w:cs="Times New Roman"/>
          <w:lang w:val="en"/>
        </w:rPr>
        <w:t>e</w:t>
      </w:r>
      <w:r w:rsidRPr="008173C7">
        <w:rPr>
          <w:rFonts w:cs="Times New Roman"/>
          <w:lang w:val="en"/>
        </w:rPr>
        <w:t xml:space="preserve"> impact, each case describes the actor network </w:t>
      </w:r>
      <w:r w:rsidR="00E14A7C" w:rsidRPr="008173C7">
        <w:rPr>
          <w:rFonts w:cs="Times New Roman"/>
          <w:lang w:val="en"/>
        </w:rPr>
        <w:t xml:space="preserve">that is </w:t>
      </w:r>
      <w:r w:rsidRPr="008173C7">
        <w:rPr>
          <w:rFonts w:cs="Times New Roman"/>
          <w:lang w:val="en"/>
        </w:rPr>
        <w:t xml:space="preserve">mobilized, the contribution of each actor, the diversity of </w:t>
      </w:r>
      <w:r w:rsidR="00E14A7C" w:rsidRPr="008173C7">
        <w:rPr>
          <w:rFonts w:cs="Times New Roman"/>
          <w:lang w:val="en"/>
        </w:rPr>
        <w:t xml:space="preserve">the </w:t>
      </w:r>
      <w:r w:rsidRPr="008173C7">
        <w:rPr>
          <w:rFonts w:cs="Times New Roman"/>
          <w:lang w:val="en"/>
        </w:rPr>
        <w:t>impacts</w:t>
      </w:r>
      <w:r w:rsidR="00E14A7C" w:rsidRPr="008173C7">
        <w:rPr>
          <w:rFonts w:cs="Times New Roman"/>
          <w:lang w:val="en"/>
        </w:rPr>
        <w:t xml:space="preserve"> produced</w:t>
      </w:r>
      <w:r w:rsidRPr="008173C7">
        <w:rPr>
          <w:rFonts w:cs="Times New Roman"/>
          <w:lang w:val="en"/>
        </w:rPr>
        <w:t xml:space="preserve"> and the critical points. </w:t>
      </w:r>
      <w:r w:rsidRPr="008173C7">
        <w:rPr>
          <w:rFonts w:cs="Times New Roman"/>
          <w:lang w:val="en-US"/>
        </w:rPr>
        <w:t>Standardization of a sufficient number of case studies all</w:t>
      </w:r>
      <w:r w:rsidR="00053AAC" w:rsidRPr="008173C7">
        <w:rPr>
          <w:rFonts w:cs="Times New Roman"/>
          <w:lang w:val="en-US"/>
        </w:rPr>
        <w:t>ows systematic codification of each</w:t>
      </w:r>
      <w:r w:rsidRPr="008173C7">
        <w:rPr>
          <w:rFonts w:cs="Times New Roman"/>
          <w:lang w:val="en-US"/>
        </w:rPr>
        <w:t xml:space="preserve"> </w:t>
      </w:r>
      <w:r w:rsidR="00E14A7C" w:rsidRPr="008173C7">
        <w:rPr>
          <w:rFonts w:cs="Times New Roman"/>
          <w:lang w:val="en-US"/>
        </w:rPr>
        <w:t xml:space="preserve">case study </w:t>
      </w:r>
      <w:r w:rsidRPr="008173C7">
        <w:rPr>
          <w:rFonts w:cs="Times New Roman"/>
          <w:lang w:val="en-US"/>
        </w:rPr>
        <w:t>variables, and the building of</w:t>
      </w:r>
      <w:r w:rsidR="003B7E46" w:rsidRPr="008173C7">
        <w:rPr>
          <w:rFonts w:cs="Times New Roman"/>
          <w:lang w:val="en-US"/>
        </w:rPr>
        <w:t xml:space="preserve"> a typology of impact pathways </w:t>
      </w:r>
      <w:r w:rsidR="00DA7E42" w:rsidRPr="0016494E">
        <w:rPr>
          <w:rFonts w:cs="Times New Roman"/>
          <w:lang w:val="en-US"/>
        </w:rPr>
        <w:t>(Matt et al. 2017)</w:t>
      </w:r>
      <w:r w:rsidRPr="008173C7">
        <w:rPr>
          <w:rFonts w:cs="Times New Roman"/>
          <w:lang w:val="en-US"/>
        </w:rPr>
        <w:t xml:space="preserve"> </w:t>
      </w:r>
      <w:r w:rsidR="00E14A7C" w:rsidRPr="008173C7">
        <w:rPr>
          <w:rFonts w:cs="Times New Roman"/>
          <w:lang w:val="en-US"/>
        </w:rPr>
        <w:t xml:space="preserve">which </w:t>
      </w:r>
      <w:r w:rsidRPr="008173C7">
        <w:rPr>
          <w:rFonts w:cs="Times New Roman"/>
          <w:lang w:val="en-US"/>
        </w:rPr>
        <w:t>highlight</w:t>
      </w:r>
      <w:r w:rsidR="00E14A7C" w:rsidRPr="008173C7">
        <w:rPr>
          <w:rFonts w:cs="Times New Roman"/>
          <w:lang w:val="en-US"/>
        </w:rPr>
        <w:t>s</w:t>
      </w:r>
      <w:r w:rsidRPr="008173C7">
        <w:rPr>
          <w:rFonts w:cs="Times New Roman"/>
          <w:lang w:val="en-US"/>
        </w:rPr>
        <w:t xml:space="preserve"> generic lessons.</w:t>
      </w:r>
    </w:p>
    <w:p w14:paraId="047F31C7" w14:textId="2D677B72" w:rsidR="000440E4" w:rsidRPr="008173C7" w:rsidRDefault="000440E4" w:rsidP="000401BB">
      <w:pPr>
        <w:pBdr>
          <w:top w:val="single" w:sz="4" w:space="1" w:color="auto"/>
          <w:left w:val="single" w:sz="4" w:space="4" w:color="auto"/>
          <w:bottom w:val="single" w:sz="4" w:space="1" w:color="auto"/>
          <w:right w:val="single" w:sz="4" w:space="4" w:color="auto"/>
        </w:pBdr>
        <w:spacing w:line="480" w:lineRule="auto"/>
        <w:rPr>
          <w:rFonts w:cs="Times New Roman"/>
          <w:lang w:val="en"/>
        </w:rPr>
      </w:pPr>
      <w:r w:rsidRPr="008173C7">
        <w:rPr>
          <w:rFonts w:cs="Times New Roman"/>
          <w:lang w:val="en"/>
        </w:rPr>
        <w:t xml:space="preserve">ASIRPA aims </w:t>
      </w:r>
      <w:r w:rsidR="00E14A7C" w:rsidRPr="008173C7">
        <w:rPr>
          <w:rFonts w:cs="Times New Roman"/>
          <w:lang w:val="en"/>
        </w:rPr>
        <w:t xml:space="preserve">also </w:t>
      </w:r>
      <w:r w:rsidRPr="008173C7">
        <w:rPr>
          <w:rFonts w:cs="Times New Roman"/>
          <w:lang w:val="en"/>
        </w:rPr>
        <w:t xml:space="preserve">at a fine description and robust </w:t>
      </w:r>
      <w:r w:rsidR="00966A31" w:rsidRPr="008173C7">
        <w:rPr>
          <w:rFonts w:cs="Times New Roman"/>
          <w:lang w:val="en"/>
        </w:rPr>
        <w:t>assessment</w:t>
      </w:r>
      <w:r w:rsidRPr="008173C7">
        <w:rPr>
          <w:rFonts w:cs="Times New Roman"/>
          <w:lang w:val="en"/>
        </w:rPr>
        <w:t xml:space="preserve"> of the impacts </w:t>
      </w:r>
      <w:r w:rsidR="00E14A7C" w:rsidRPr="008173C7">
        <w:rPr>
          <w:rFonts w:cs="Times New Roman"/>
          <w:lang w:val="en"/>
        </w:rPr>
        <w:t>–</w:t>
      </w:r>
      <w:r w:rsidRPr="008173C7">
        <w:rPr>
          <w:rFonts w:cs="Times New Roman"/>
          <w:lang w:val="en"/>
        </w:rPr>
        <w:t xml:space="preserve"> </w:t>
      </w:r>
      <w:r w:rsidR="00E14A7C" w:rsidRPr="008173C7">
        <w:rPr>
          <w:rFonts w:cs="Times New Roman"/>
          <w:lang w:val="en"/>
        </w:rPr>
        <w:t xml:space="preserve">and </w:t>
      </w:r>
      <w:r w:rsidRPr="008173C7">
        <w:rPr>
          <w:rFonts w:cs="Times New Roman"/>
          <w:lang w:val="en"/>
        </w:rPr>
        <w:t>notably their non-economic dimensions. We consider</w:t>
      </w:r>
      <w:r w:rsidR="00E14A7C" w:rsidRPr="008173C7">
        <w:rPr>
          <w:rFonts w:cs="Times New Roman"/>
          <w:lang w:val="en"/>
        </w:rPr>
        <w:t>ed</w:t>
      </w:r>
      <w:r w:rsidRPr="008173C7">
        <w:rPr>
          <w:rFonts w:cs="Times New Roman"/>
          <w:lang w:val="en"/>
        </w:rPr>
        <w:t xml:space="preserve"> five categories of impact </w:t>
      </w:r>
      <w:r w:rsidRPr="008173C7">
        <w:rPr>
          <w:rFonts w:cs="Times New Roman"/>
          <w:lang w:val="en-US"/>
        </w:rPr>
        <w:t>(economic, political, environmental, social-territorial and health)</w:t>
      </w:r>
      <w:r w:rsidRPr="008173C7">
        <w:rPr>
          <w:rFonts w:cs="Times New Roman"/>
          <w:lang w:val="en"/>
        </w:rPr>
        <w:t xml:space="preserve"> </w:t>
      </w:r>
      <w:r w:rsidR="00E14A7C" w:rsidRPr="008173C7">
        <w:rPr>
          <w:rFonts w:cs="Times New Roman"/>
          <w:lang w:val="en"/>
        </w:rPr>
        <w:t xml:space="preserve">most commonly </w:t>
      </w:r>
      <w:r w:rsidRPr="008173C7">
        <w:rPr>
          <w:rFonts w:cs="Times New Roman"/>
          <w:lang w:val="en"/>
        </w:rPr>
        <w:t>studied in the literature</w:t>
      </w:r>
      <w:r w:rsidR="00807D37" w:rsidRPr="008173C7">
        <w:rPr>
          <w:rFonts w:cs="Times New Roman"/>
          <w:lang w:val="en"/>
        </w:rPr>
        <w:t xml:space="preserve"> </w:t>
      </w:r>
      <w:r w:rsidR="00DA7E42" w:rsidRPr="00DA7E42">
        <w:rPr>
          <w:rFonts w:cs="Times New Roman"/>
          <w:lang w:val="en-US"/>
        </w:rPr>
        <w:t>(Bornmann 2013)</w:t>
      </w:r>
      <w:r w:rsidRPr="008173C7">
        <w:rPr>
          <w:rFonts w:cs="Times New Roman"/>
          <w:lang w:val="en"/>
        </w:rPr>
        <w:t xml:space="preserve"> and </w:t>
      </w:r>
      <w:r w:rsidR="00E14A7C" w:rsidRPr="008173C7">
        <w:rPr>
          <w:rFonts w:cs="Times New Roman"/>
          <w:lang w:val="en"/>
        </w:rPr>
        <w:t xml:space="preserve">which are </w:t>
      </w:r>
      <w:r w:rsidRPr="008173C7">
        <w:rPr>
          <w:rFonts w:cs="Times New Roman"/>
          <w:lang w:val="en"/>
        </w:rPr>
        <w:t xml:space="preserve">significant </w:t>
      </w:r>
      <w:r w:rsidR="00E14A7C" w:rsidRPr="008173C7">
        <w:rPr>
          <w:rFonts w:cs="Times New Roman"/>
          <w:lang w:val="en"/>
        </w:rPr>
        <w:t xml:space="preserve">in the context of INRA’s </w:t>
      </w:r>
      <w:r w:rsidRPr="008173C7">
        <w:rPr>
          <w:rFonts w:cs="Times New Roman"/>
          <w:lang w:val="en"/>
        </w:rPr>
        <w:t>missions</w:t>
      </w:r>
      <w:r w:rsidR="00C16BF8" w:rsidRPr="008173C7">
        <w:rPr>
          <w:rFonts w:cs="Times New Roman"/>
          <w:lang w:val="en"/>
        </w:rPr>
        <w:t>.</w:t>
      </w:r>
      <w:r w:rsidRPr="008173C7">
        <w:rPr>
          <w:rFonts w:cs="Times New Roman"/>
          <w:lang w:val="en"/>
        </w:rPr>
        <w:t xml:space="preserve"> All </w:t>
      </w:r>
      <w:r w:rsidR="00A361CC" w:rsidRPr="008173C7">
        <w:rPr>
          <w:rFonts w:cs="Times New Roman"/>
          <w:lang w:val="en"/>
        </w:rPr>
        <w:t xml:space="preserve">five </w:t>
      </w:r>
      <w:r w:rsidRPr="008173C7">
        <w:rPr>
          <w:rFonts w:cs="Times New Roman"/>
          <w:lang w:val="en"/>
        </w:rPr>
        <w:t xml:space="preserve">categories are explored </w:t>
      </w:r>
      <w:r w:rsidR="00A361CC" w:rsidRPr="008173C7">
        <w:rPr>
          <w:rFonts w:cs="Times New Roman"/>
          <w:lang w:val="en"/>
        </w:rPr>
        <w:t xml:space="preserve">systematically </w:t>
      </w:r>
      <w:r w:rsidRPr="008173C7">
        <w:rPr>
          <w:rFonts w:cs="Times New Roman"/>
          <w:lang w:val="en"/>
        </w:rPr>
        <w:t xml:space="preserve">in each </w:t>
      </w:r>
      <w:r w:rsidR="00A361CC" w:rsidRPr="008173C7">
        <w:rPr>
          <w:rFonts w:cs="Times New Roman"/>
          <w:lang w:val="en"/>
        </w:rPr>
        <w:t xml:space="preserve">of the case studies </w:t>
      </w:r>
      <w:r w:rsidRPr="008173C7">
        <w:rPr>
          <w:rFonts w:cs="Times New Roman"/>
          <w:lang w:val="en-US"/>
        </w:rPr>
        <w:t xml:space="preserve">in order to capture </w:t>
      </w:r>
      <w:r w:rsidR="00A361CC" w:rsidRPr="008173C7">
        <w:rPr>
          <w:rFonts w:cs="Times New Roman"/>
          <w:lang w:val="en-US"/>
        </w:rPr>
        <w:t xml:space="preserve">unexpected </w:t>
      </w:r>
      <w:r w:rsidRPr="008173C7">
        <w:rPr>
          <w:rFonts w:cs="Times New Roman"/>
          <w:lang w:val="en-US"/>
        </w:rPr>
        <w:t>impacts. Th</w:t>
      </w:r>
      <w:r w:rsidR="00A361CC" w:rsidRPr="008173C7">
        <w:rPr>
          <w:rFonts w:cs="Times New Roman"/>
          <w:lang w:val="en-US"/>
        </w:rPr>
        <w:t xml:space="preserve">us, </w:t>
      </w:r>
      <w:r w:rsidRPr="008173C7">
        <w:rPr>
          <w:rFonts w:cs="Times New Roman"/>
          <w:lang w:val="en-US"/>
        </w:rPr>
        <w:t xml:space="preserve">political impacts are envisioned even for non-policy-oriented research. Local impact descriptors for each of the categories </w:t>
      </w:r>
      <w:r w:rsidR="001D1915" w:rsidRPr="008173C7">
        <w:rPr>
          <w:rFonts w:cs="Times New Roman"/>
          <w:lang w:val="en-US"/>
        </w:rPr>
        <w:t>were</w:t>
      </w:r>
      <w:r w:rsidR="00A361CC" w:rsidRPr="008173C7">
        <w:rPr>
          <w:rFonts w:cs="Times New Roman"/>
          <w:lang w:val="en-US"/>
        </w:rPr>
        <w:t xml:space="preserve"> </w:t>
      </w:r>
      <w:r w:rsidRPr="008173C7">
        <w:rPr>
          <w:rFonts w:cs="Times New Roman"/>
          <w:lang w:val="en-US"/>
        </w:rPr>
        <w:t>collected via desk research and stakeholder interviews. Evidence of impact is reported in a table</w:t>
      </w:r>
      <w:r w:rsidR="00A361CC" w:rsidRPr="008173C7">
        <w:rPr>
          <w:rFonts w:cs="Times New Roman"/>
          <w:lang w:val="en-US"/>
        </w:rPr>
        <w:t xml:space="preserve"> which is accompanied by </w:t>
      </w:r>
      <w:r w:rsidRPr="008173C7">
        <w:rPr>
          <w:rFonts w:cs="Times New Roman"/>
          <w:lang w:val="en-US"/>
        </w:rPr>
        <w:t>a radar diagram depicting impact intensity along the five categories</w:t>
      </w:r>
      <w:r w:rsidR="00A361CC" w:rsidRPr="008173C7">
        <w:rPr>
          <w:rFonts w:cs="Times New Roman"/>
          <w:lang w:val="en-US"/>
        </w:rPr>
        <w:t xml:space="preserve"> which are scored </w:t>
      </w:r>
      <w:r w:rsidRPr="008173C7">
        <w:rPr>
          <w:rFonts w:cs="Times New Roman"/>
          <w:lang w:val="en-US"/>
        </w:rPr>
        <w:t>on a scale from 1 (negligible impact) to 5 (major impact).</w:t>
      </w:r>
    </w:p>
    <w:p w14:paraId="14BDBBF4" w14:textId="15866586" w:rsidR="00712017" w:rsidRPr="008173C7" w:rsidRDefault="00712017" w:rsidP="000401BB">
      <w:pPr>
        <w:spacing w:line="480" w:lineRule="auto"/>
        <w:rPr>
          <w:rFonts w:cs="Times New Roman"/>
          <w:lang w:val="en-US"/>
        </w:rPr>
      </w:pPr>
      <w:r w:rsidRPr="008173C7">
        <w:rPr>
          <w:rFonts w:cs="Times New Roman"/>
          <w:lang w:val="en-GB"/>
        </w:rPr>
        <w:t xml:space="preserve">The development of this </w:t>
      </w:r>
      <w:r w:rsidR="00361A7B" w:rsidRPr="008173C7">
        <w:rPr>
          <w:rFonts w:cs="Times New Roman"/>
          <w:lang w:val="en-GB"/>
        </w:rPr>
        <w:t>assessment</w:t>
      </w:r>
      <w:r w:rsidR="00A361CC" w:rsidRPr="008173C7">
        <w:rPr>
          <w:rFonts w:cs="Times New Roman"/>
          <w:lang w:val="en-GB"/>
        </w:rPr>
        <w:t xml:space="preserve"> system </w:t>
      </w:r>
      <w:r w:rsidRPr="008173C7">
        <w:rPr>
          <w:rFonts w:cs="Times New Roman"/>
          <w:lang w:val="en-GB"/>
        </w:rPr>
        <w:t xml:space="preserve">responds to </w:t>
      </w:r>
      <w:r w:rsidR="00A361CC" w:rsidRPr="008173C7">
        <w:rPr>
          <w:rFonts w:cs="Times New Roman"/>
          <w:lang w:val="en-GB"/>
        </w:rPr>
        <w:t xml:space="preserve">some of the shortcomings in </w:t>
      </w:r>
      <w:r w:rsidRPr="008173C7">
        <w:rPr>
          <w:rFonts w:cs="Times New Roman"/>
          <w:lang w:val="en-GB"/>
        </w:rPr>
        <w:t xml:space="preserve">the current literature. There are no robust and reliable methods for </w:t>
      </w:r>
      <w:r w:rsidR="00361A7B" w:rsidRPr="008173C7">
        <w:rPr>
          <w:rFonts w:cs="Times New Roman"/>
          <w:lang w:val="en-GB"/>
        </w:rPr>
        <w:t>assessi</w:t>
      </w:r>
      <w:r w:rsidRPr="008173C7">
        <w:rPr>
          <w:rFonts w:cs="Times New Roman"/>
          <w:lang w:val="en-GB"/>
        </w:rPr>
        <w:t xml:space="preserve">ng other dimensions of societal impact including political impact </w:t>
      </w:r>
      <w:r w:rsidR="00DA7E42" w:rsidRPr="00DA7E42">
        <w:rPr>
          <w:rFonts w:cs="Times New Roman"/>
          <w:lang w:val="en-US"/>
        </w:rPr>
        <w:t>(Bornmann 2013)</w:t>
      </w:r>
      <w:r w:rsidRPr="008173C7">
        <w:rPr>
          <w:rFonts w:cs="Times New Roman"/>
          <w:lang w:val="en-GB"/>
        </w:rPr>
        <w:t xml:space="preserve">. On the one hand, </w:t>
      </w:r>
      <w:r w:rsidR="00884C75">
        <w:rPr>
          <w:rFonts w:cs="Times New Roman"/>
          <w:lang w:val="en-US"/>
        </w:rPr>
        <w:t>Renkow and</w:t>
      </w:r>
      <w:r w:rsidR="00DA7E42" w:rsidRPr="00DA7E42">
        <w:rPr>
          <w:rFonts w:cs="Times New Roman"/>
          <w:lang w:val="en-US"/>
        </w:rPr>
        <w:t xml:space="preserve"> Byerlee </w:t>
      </w:r>
      <w:r w:rsidR="00DA7E42">
        <w:rPr>
          <w:rFonts w:cs="Times New Roman"/>
          <w:lang w:val="en-US"/>
        </w:rPr>
        <w:t>(</w:t>
      </w:r>
      <w:r w:rsidR="00DA7E42" w:rsidRPr="00DA7E42">
        <w:rPr>
          <w:rFonts w:cs="Times New Roman"/>
          <w:lang w:val="en-US"/>
        </w:rPr>
        <w:t>2014)</w:t>
      </w:r>
      <w:r w:rsidRPr="008173C7">
        <w:rPr>
          <w:rFonts w:cs="Times New Roman"/>
          <w:lang w:val="en-GB"/>
        </w:rPr>
        <w:t xml:space="preserve"> note that </w:t>
      </w:r>
      <w:r w:rsidR="00A361CC" w:rsidRPr="008173C7">
        <w:rPr>
          <w:rFonts w:cs="Times New Roman"/>
          <w:lang w:val="en-GB"/>
        </w:rPr>
        <w:t xml:space="preserve">the CGIAR and ACIAR methods for </w:t>
      </w:r>
      <w:r w:rsidRPr="008173C7">
        <w:rPr>
          <w:rFonts w:cs="Times New Roman"/>
          <w:lang w:val="en-GB"/>
        </w:rPr>
        <w:t xml:space="preserve">quantitative assessment are relevant </w:t>
      </w:r>
      <w:r w:rsidRPr="008173C7">
        <w:rPr>
          <w:rFonts w:cs="Times New Roman"/>
          <w:lang w:val="en-US"/>
        </w:rPr>
        <w:t xml:space="preserve">only in the context of local political impacts because the broader international impact cannot credibly be attributed to a specific </w:t>
      </w:r>
      <w:r w:rsidR="00A361CC" w:rsidRPr="008173C7">
        <w:rPr>
          <w:rFonts w:cs="Times New Roman"/>
          <w:lang w:val="en-US"/>
        </w:rPr>
        <w:t>p</w:t>
      </w:r>
      <w:r w:rsidRPr="008173C7">
        <w:rPr>
          <w:rFonts w:cs="Times New Roman"/>
          <w:lang w:val="en-US"/>
        </w:rPr>
        <w:t xml:space="preserve">ublic </w:t>
      </w:r>
      <w:r w:rsidR="00A361CC" w:rsidRPr="008173C7">
        <w:rPr>
          <w:rFonts w:cs="Times New Roman"/>
          <w:lang w:val="en-US"/>
        </w:rPr>
        <w:t>r</w:t>
      </w:r>
      <w:r w:rsidRPr="008173C7">
        <w:rPr>
          <w:rFonts w:cs="Times New Roman"/>
          <w:lang w:val="en-US"/>
        </w:rPr>
        <w:t xml:space="preserve">esearch </w:t>
      </w:r>
      <w:r w:rsidR="00A361CC" w:rsidRPr="008173C7">
        <w:rPr>
          <w:rFonts w:cs="Times New Roman"/>
          <w:lang w:val="en-US"/>
        </w:rPr>
        <w:t>o</w:t>
      </w:r>
      <w:r w:rsidRPr="008173C7">
        <w:rPr>
          <w:rFonts w:cs="Times New Roman"/>
          <w:lang w:val="en-US"/>
        </w:rPr>
        <w:t xml:space="preserve">rganization (PRO). </w:t>
      </w:r>
      <w:r w:rsidR="0016494E">
        <w:rPr>
          <w:rFonts w:cs="Times New Roman"/>
          <w:lang w:val="en-US"/>
        </w:rPr>
        <w:t>Hazell and</w:t>
      </w:r>
      <w:r w:rsidR="00DA7E42" w:rsidRPr="00DA7E42">
        <w:rPr>
          <w:rFonts w:cs="Times New Roman"/>
          <w:lang w:val="en-US"/>
        </w:rPr>
        <w:t xml:space="preserve"> Slade </w:t>
      </w:r>
      <w:r w:rsidR="00DA7E42">
        <w:rPr>
          <w:rFonts w:cs="Times New Roman"/>
          <w:lang w:val="en-US"/>
        </w:rPr>
        <w:t>(</w:t>
      </w:r>
      <w:r w:rsidR="00DA7E42" w:rsidRPr="00DA7E42">
        <w:rPr>
          <w:rFonts w:cs="Times New Roman"/>
          <w:lang w:val="en-US"/>
        </w:rPr>
        <w:t>2014)</w:t>
      </w:r>
      <w:r w:rsidRPr="008173C7">
        <w:rPr>
          <w:rFonts w:cs="Times New Roman"/>
          <w:lang w:val="en-US"/>
        </w:rPr>
        <w:t xml:space="preserve"> </w:t>
      </w:r>
      <w:r w:rsidR="00A361CC" w:rsidRPr="008173C7">
        <w:rPr>
          <w:rFonts w:cs="Times New Roman"/>
          <w:lang w:val="en-US"/>
        </w:rPr>
        <w:t xml:space="preserve">agree, suggesting </w:t>
      </w:r>
      <w:r w:rsidRPr="008173C7">
        <w:rPr>
          <w:rFonts w:cs="Times New Roman"/>
          <w:lang w:val="en-US"/>
        </w:rPr>
        <w:t xml:space="preserve">that quantitative political impact assessment methods are </w:t>
      </w:r>
      <w:r w:rsidR="00A361CC" w:rsidRPr="008173C7">
        <w:rPr>
          <w:rFonts w:cs="Times New Roman"/>
          <w:lang w:val="en-US"/>
        </w:rPr>
        <w:t>scarce</w:t>
      </w:r>
      <w:r w:rsidRPr="008173C7">
        <w:rPr>
          <w:rFonts w:cs="Times New Roman"/>
          <w:lang w:val="en-US"/>
        </w:rPr>
        <w:t xml:space="preserve">: only around 10 </w:t>
      </w:r>
      <w:r w:rsidR="00A361CC" w:rsidRPr="008173C7">
        <w:rPr>
          <w:rFonts w:cs="Times New Roman"/>
          <w:lang w:val="en-US"/>
        </w:rPr>
        <w:t xml:space="preserve">of </w:t>
      </w:r>
      <w:r w:rsidRPr="008173C7">
        <w:rPr>
          <w:rFonts w:cs="Times New Roman"/>
          <w:lang w:val="en-US"/>
        </w:rPr>
        <w:t>31 impact studies of policy research commissioned by CGIAR, provide quantitative impact assessments, and the</w:t>
      </w:r>
      <w:r w:rsidR="00A361CC" w:rsidRPr="008173C7">
        <w:rPr>
          <w:rFonts w:cs="Times New Roman"/>
          <w:lang w:val="en-US"/>
        </w:rPr>
        <w:t>se</w:t>
      </w:r>
      <w:r w:rsidRPr="008173C7">
        <w:rPr>
          <w:rFonts w:cs="Times New Roman"/>
          <w:lang w:val="en-US"/>
        </w:rPr>
        <w:t xml:space="preserve"> do not cover all the possible dimensions of political impact. On the other hand, qualitative case stud</w:t>
      </w:r>
      <w:r w:rsidR="00A361CC" w:rsidRPr="008173C7">
        <w:rPr>
          <w:rFonts w:cs="Times New Roman"/>
          <w:lang w:val="en-US"/>
        </w:rPr>
        <w:t xml:space="preserve">y based approaches provide </w:t>
      </w:r>
      <w:r w:rsidRPr="008173C7">
        <w:rPr>
          <w:rFonts w:cs="Times New Roman"/>
          <w:lang w:val="en-US"/>
        </w:rPr>
        <w:t>rich description</w:t>
      </w:r>
      <w:r w:rsidR="00A361CC" w:rsidRPr="008173C7">
        <w:rPr>
          <w:rFonts w:cs="Times New Roman"/>
          <w:lang w:val="en-US"/>
        </w:rPr>
        <w:t>s</w:t>
      </w:r>
      <w:r w:rsidRPr="008173C7">
        <w:rPr>
          <w:rFonts w:cs="Times New Roman"/>
          <w:lang w:val="en-US"/>
        </w:rPr>
        <w:t xml:space="preserve"> of the contribution of research to the policy process </w:t>
      </w:r>
      <w:r w:rsidR="00DA7E42" w:rsidRPr="00DA7E42">
        <w:rPr>
          <w:rFonts w:cs="Times New Roman"/>
          <w:lang w:val="en-US"/>
        </w:rPr>
        <w:t>(Boaz et al. 2009)</w:t>
      </w:r>
      <w:r w:rsidR="00A361CC" w:rsidRPr="008173C7">
        <w:rPr>
          <w:rFonts w:cs="Times New Roman"/>
          <w:lang w:val="en-US"/>
        </w:rPr>
        <w:t xml:space="preserve"> but often do not allow </w:t>
      </w:r>
      <w:r w:rsidRPr="008173C7">
        <w:rPr>
          <w:rFonts w:cs="Times New Roman"/>
          <w:lang w:val="en-US"/>
        </w:rPr>
        <w:t>analytical scaling-up</w:t>
      </w:r>
      <w:r w:rsidR="00A361CC" w:rsidRPr="008173C7">
        <w:rPr>
          <w:rFonts w:cs="Times New Roman"/>
          <w:lang w:val="en-US"/>
        </w:rPr>
        <w:t xml:space="preserve"> since generally</w:t>
      </w:r>
      <w:r w:rsidRPr="008173C7">
        <w:rPr>
          <w:rFonts w:cs="Times New Roman"/>
          <w:lang w:val="en-US"/>
        </w:rPr>
        <w:t xml:space="preserve">, studies are grounded in </w:t>
      </w:r>
      <w:r w:rsidR="00A361CC" w:rsidRPr="008173C7">
        <w:rPr>
          <w:rFonts w:cs="Times New Roman"/>
          <w:lang w:val="en-US"/>
        </w:rPr>
        <w:t>individual,</w:t>
      </w:r>
      <w:r w:rsidRPr="008173C7">
        <w:rPr>
          <w:rFonts w:cs="Times New Roman"/>
          <w:lang w:val="en-US"/>
        </w:rPr>
        <w:t xml:space="preserve"> one-off theoretical frameworks.</w:t>
      </w:r>
    </w:p>
    <w:p w14:paraId="775C3B47" w14:textId="32DD411B" w:rsidR="00712017" w:rsidRPr="008173C7" w:rsidRDefault="00712017" w:rsidP="000401BB">
      <w:pPr>
        <w:spacing w:line="480" w:lineRule="auto"/>
        <w:rPr>
          <w:rFonts w:cs="Times New Roman"/>
          <w:lang w:val="en-US"/>
        </w:rPr>
      </w:pPr>
      <w:r w:rsidRPr="008173C7">
        <w:rPr>
          <w:rFonts w:cs="Times New Roman"/>
          <w:lang w:val="en-US"/>
        </w:rPr>
        <w:t>Conceptual developments in knowledge exchange have pro</w:t>
      </w:r>
      <w:r w:rsidR="00A361CC" w:rsidRPr="008173C7">
        <w:rPr>
          <w:rFonts w:cs="Times New Roman"/>
          <w:lang w:val="en-US"/>
        </w:rPr>
        <w:t>posed</w:t>
      </w:r>
      <w:r w:rsidRPr="008173C7">
        <w:rPr>
          <w:rFonts w:cs="Times New Roman"/>
          <w:lang w:val="en-US"/>
        </w:rPr>
        <w:t xml:space="preserve"> frameworks that attempt to organize what is known about the ways research can contribute to policy. </w:t>
      </w:r>
      <w:r w:rsidR="00DA7E42" w:rsidRPr="00DA7E42">
        <w:rPr>
          <w:rFonts w:cs="Times New Roman"/>
          <w:lang w:val="en-US"/>
        </w:rPr>
        <w:t xml:space="preserve">Davies et al. </w:t>
      </w:r>
      <w:r w:rsidR="00DA7E42">
        <w:rPr>
          <w:rFonts w:cs="Times New Roman"/>
          <w:lang w:val="en-US"/>
        </w:rPr>
        <w:t>(</w:t>
      </w:r>
      <w:r w:rsidR="00DA7E42" w:rsidRPr="00DA7E42">
        <w:rPr>
          <w:rFonts w:cs="Times New Roman"/>
          <w:lang w:val="en-US"/>
        </w:rPr>
        <w:t>2015)</w:t>
      </w:r>
      <w:r w:rsidRPr="008173C7">
        <w:rPr>
          <w:rFonts w:cs="Times New Roman"/>
          <w:lang w:val="en-US"/>
        </w:rPr>
        <w:t xml:space="preserve"> </w:t>
      </w:r>
      <w:r w:rsidR="0028419D" w:rsidRPr="008173C7">
        <w:rPr>
          <w:rFonts w:cs="Times New Roman"/>
          <w:lang w:val="en-US"/>
        </w:rPr>
        <w:t>reported</w:t>
      </w:r>
      <w:r w:rsidRPr="008173C7">
        <w:rPr>
          <w:rFonts w:cs="Times New Roman"/>
          <w:lang w:val="en-US"/>
        </w:rPr>
        <w:t xml:space="preserve"> 71 substantial </w:t>
      </w:r>
      <w:r w:rsidR="00CB533F" w:rsidRPr="008173C7">
        <w:rPr>
          <w:rFonts w:cs="Times New Roman"/>
          <w:lang w:val="en-US"/>
        </w:rPr>
        <w:t xml:space="preserve">literature </w:t>
      </w:r>
      <w:r w:rsidRPr="008173C7">
        <w:rPr>
          <w:rFonts w:cs="Times New Roman"/>
          <w:lang w:val="en-US"/>
        </w:rPr>
        <w:t xml:space="preserve">reviews on this topic across </w:t>
      </w:r>
      <w:r w:rsidR="00A361CC" w:rsidRPr="008173C7">
        <w:rPr>
          <w:rFonts w:cs="Times New Roman"/>
          <w:lang w:val="en-US"/>
        </w:rPr>
        <w:t xml:space="preserve">the areas of </w:t>
      </w:r>
      <w:r w:rsidRPr="008173C7">
        <w:rPr>
          <w:rFonts w:cs="Times New Roman"/>
          <w:lang w:val="en-US"/>
        </w:rPr>
        <w:t>health, social care and education</w:t>
      </w:r>
      <w:r w:rsidR="0028419D" w:rsidRPr="008173C7">
        <w:rPr>
          <w:rFonts w:cs="Times New Roman"/>
          <w:lang w:val="en-US"/>
        </w:rPr>
        <w:t>.</w:t>
      </w:r>
      <w:r w:rsidR="00A7209C" w:rsidRPr="008173C7">
        <w:rPr>
          <w:rFonts w:cs="Times New Roman"/>
          <w:lang w:val="en-US"/>
        </w:rPr>
        <w:t xml:space="preserve"> </w:t>
      </w:r>
      <w:r w:rsidRPr="008173C7">
        <w:rPr>
          <w:rFonts w:cs="Times New Roman"/>
          <w:lang w:val="en-US"/>
        </w:rPr>
        <w:t>However</w:t>
      </w:r>
      <w:r w:rsidR="00567EE5" w:rsidRPr="008173C7">
        <w:rPr>
          <w:rFonts w:cs="Times New Roman"/>
          <w:lang w:val="en-US"/>
        </w:rPr>
        <w:t>,</w:t>
      </w:r>
      <w:r w:rsidRPr="008173C7">
        <w:rPr>
          <w:rFonts w:cs="Times New Roman"/>
          <w:lang w:val="en-US"/>
        </w:rPr>
        <w:t xml:space="preserve"> </w:t>
      </w:r>
      <w:r w:rsidR="00A7209C" w:rsidRPr="008173C7">
        <w:rPr>
          <w:rFonts w:cs="Times New Roman"/>
          <w:lang w:val="en-US"/>
        </w:rPr>
        <w:t xml:space="preserve">on this same topic, </w:t>
      </w:r>
      <w:r w:rsidR="0016494E">
        <w:rPr>
          <w:rFonts w:cs="Times New Roman"/>
          <w:lang w:val="en-US"/>
        </w:rPr>
        <w:t>(Cozzens and</w:t>
      </w:r>
      <w:r w:rsidR="00DA7E42" w:rsidRPr="00DA7E42">
        <w:rPr>
          <w:rFonts w:cs="Times New Roman"/>
          <w:lang w:val="en-US"/>
        </w:rPr>
        <w:t xml:space="preserve"> Snoek 2010)</w:t>
      </w:r>
      <w:r w:rsidRPr="008173C7">
        <w:rPr>
          <w:rFonts w:cs="Times New Roman"/>
          <w:lang w:val="en-US"/>
        </w:rPr>
        <w:t xml:space="preserve"> comment that “the literature on knowledge to policy is long on models and short on measurements”. </w:t>
      </w:r>
      <w:r w:rsidR="00567EE5" w:rsidRPr="008173C7">
        <w:rPr>
          <w:rFonts w:cs="Times New Roman"/>
          <w:lang w:val="en-US"/>
        </w:rPr>
        <w:t xml:space="preserve">The literature suggests that to assess the full impact of research, notably the informative role of knowledge, it is important to examine how the policy evolved over a 10-year period (Cozzens and Snoek 2010). In relation to the </w:t>
      </w:r>
      <w:r w:rsidRPr="008173C7">
        <w:rPr>
          <w:rFonts w:cs="Times New Roman"/>
          <w:lang w:val="en-US"/>
        </w:rPr>
        <w:t xml:space="preserve">implementation of </w:t>
      </w:r>
      <w:r w:rsidR="00567EE5" w:rsidRPr="008173C7">
        <w:rPr>
          <w:rFonts w:cs="Times New Roman"/>
          <w:lang w:val="en-US"/>
        </w:rPr>
        <w:t xml:space="preserve">the existing </w:t>
      </w:r>
      <w:r w:rsidRPr="008173C7">
        <w:rPr>
          <w:rFonts w:cs="Times New Roman"/>
          <w:lang w:val="en-US"/>
        </w:rPr>
        <w:t xml:space="preserve">models, performance reports on policy-oriented research programs </w:t>
      </w:r>
      <w:r w:rsidR="00567EE5" w:rsidRPr="008173C7">
        <w:rPr>
          <w:rFonts w:cs="Times New Roman"/>
          <w:lang w:val="en-US"/>
        </w:rPr>
        <w:t xml:space="preserve">tend </w:t>
      </w:r>
      <w:r w:rsidRPr="008173C7">
        <w:rPr>
          <w:rFonts w:cs="Times New Roman"/>
          <w:lang w:val="en-US"/>
        </w:rPr>
        <w:t xml:space="preserve">only </w:t>
      </w:r>
      <w:r w:rsidR="00567EE5" w:rsidRPr="008173C7">
        <w:rPr>
          <w:rFonts w:cs="Times New Roman"/>
          <w:lang w:val="en-US"/>
        </w:rPr>
        <w:t xml:space="preserve">to </w:t>
      </w:r>
      <w:r w:rsidRPr="008173C7">
        <w:rPr>
          <w:rFonts w:cs="Times New Roman"/>
          <w:lang w:val="en-US"/>
        </w:rPr>
        <w:t>identify instrumental uses of research information in a limited range of application over a short time period</w:t>
      </w:r>
      <w:r w:rsidR="00567EE5" w:rsidRPr="008173C7">
        <w:rPr>
          <w:rFonts w:cs="Times New Roman"/>
          <w:lang w:val="en-US"/>
        </w:rPr>
        <w:t xml:space="preserve">. </w:t>
      </w:r>
      <w:r w:rsidRPr="008173C7">
        <w:rPr>
          <w:rFonts w:cs="Times New Roman"/>
          <w:lang w:val="en-US"/>
        </w:rPr>
        <w:t>This is because program evaluation</w:t>
      </w:r>
      <w:r w:rsidR="00567EE5" w:rsidRPr="008173C7">
        <w:rPr>
          <w:rFonts w:cs="Times New Roman"/>
          <w:lang w:val="en-US"/>
        </w:rPr>
        <w:t>s</w:t>
      </w:r>
      <w:r w:rsidRPr="008173C7">
        <w:rPr>
          <w:rFonts w:cs="Times New Roman"/>
          <w:lang w:val="en-US"/>
        </w:rPr>
        <w:t xml:space="preserve"> </w:t>
      </w:r>
      <w:r w:rsidR="00567EE5" w:rsidRPr="008173C7">
        <w:rPr>
          <w:rFonts w:cs="Times New Roman"/>
          <w:lang w:val="en-US"/>
        </w:rPr>
        <w:t xml:space="preserve">usually do not have </w:t>
      </w:r>
      <w:r w:rsidRPr="008173C7">
        <w:rPr>
          <w:rFonts w:cs="Times New Roman"/>
          <w:lang w:val="en-US"/>
        </w:rPr>
        <w:t xml:space="preserve">the time and resources for depth analysis, </w:t>
      </w:r>
      <w:r w:rsidR="00673BB1" w:rsidRPr="008173C7">
        <w:rPr>
          <w:rFonts w:cs="Times New Roman"/>
          <w:lang w:val="en-US"/>
        </w:rPr>
        <w:t>as they</w:t>
      </w:r>
      <w:r w:rsidR="00567EE5" w:rsidRPr="008173C7">
        <w:rPr>
          <w:rFonts w:cs="Times New Roman"/>
          <w:lang w:val="en-US"/>
        </w:rPr>
        <w:t xml:space="preserve"> are conducted soon </w:t>
      </w:r>
      <w:r w:rsidRPr="008173C7">
        <w:rPr>
          <w:rFonts w:cs="Times New Roman"/>
          <w:lang w:val="en-US"/>
        </w:rPr>
        <w:t xml:space="preserve">after </w:t>
      </w:r>
      <w:r w:rsidR="00567EE5" w:rsidRPr="008173C7">
        <w:rPr>
          <w:rFonts w:cs="Times New Roman"/>
          <w:lang w:val="en-US"/>
        </w:rPr>
        <w:t xml:space="preserve">a </w:t>
      </w:r>
      <w:r w:rsidRPr="008173C7">
        <w:rPr>
          <w:rFonts w:cs="Times New Roman"/>
          <w:lang w:val="en-US"/>
        </w:rPr>
        <w:t xml:space="preserve">program </w:t>
      </w:r>
      <w:r w:rsidR="00567EE5" w:rsidRPr="008173C7">
        <w:rPr>
          <w:rFonts w:cs="Times New Roman"/>
          <w:lang w:val="en-US"/>
        </w:rPr>
        <w:t>is completed</w:t>
      </w:r>
      <w:r w:rsidRPr="008173C7">
        <w:rPr>
          <w:rFonts w:cs="Times New Roman"/>
          <w:lang w:val="en-US"/>
        </w:rPr>
        <w:t>.</w:t>
      </w:r>
      <w:r w:rsidR="0016494E">
        <w:rPr>
          <w:rFonts w:cs="Times New Roman"/>
          <w:lang w:val="en-US"/>
        </w:rPr>
        <w:t xml:space="preserve"> </w:t>
      </w:r>
      <w:r w:rsidR="00DA7E42" w:rsidRPr="00DA7E42">
        <w:rPr>
          <w:rFonts w:cs="Times New Roman"/>
          <w:lang w:val="en-US"/>
        </w:rPr>
        <w:t xml:space="preserve">Boaz et al. </w:t>
      </w:r>
      <w:r w:rsidR="0016494E">
        <w:rPr>
          <w:rFonts w:cs="Times New Roman"/>
          <w:lang w:val="en-US"/>
        </w:rPr>
        <w:t>(</w:t>
      </w:r>
      <w:r w:rsidR="00DA7E42" w:rsidRPr="00DA7E42">
        <w:rPr>
          <w:rFonts w:cs="Times New Roman"/>
          <w:lang w:val="en-US"/>
        </w:rPr>
        <w:t>2009)</w:t>
      </w:r>
      <w:r w:rsidRPr="008173C7">
        <w:rPr>
          <w:rFonts w:cs="Times New Roman"/>
          <w:lang w:val="en-US"/>
        </w:rPr>
        <w:t xml:space="preserve"> and </w:t>
      </w:r>
      <w:r w:rsidR="00DA7E42" w:rsidRPr="00DA7E42">
        <w:rPr>
          <w:rFonts w:cs="Times New Roman"/>
          <w:lang w:val="en-US"/>
        </w:rPr>
        <w:t xml:space="preserve">Greenhalgh et al. </w:t>
      </w:r>
      <w:r w:rsidR="0016494E">
        <w:rPr>
          <w:rFonts w:cs="Times New Roman"/>
          <w:lang w:val="en-US"/>
        </w:rPr>
        <w:t>(</w:t>
      </w:r>
      <w:r w:rsidR="00DA7E42" w:rsidRPr="00DA7E42">
        <w:rPr>
          <w:rFonts w:cs="Times New Roman"/>
          <w:lang w:val="en-US"/>
        </w:rPr>
        <w:t>2016)</w:t>
      </w:r>
      <w:r w:rsidRPr="008173C7">
        <w:rPr>
          <w:rFonts w:cs="Times New Roman"/>
          <w:lang w:val="en-US"/>
        </w:rPr>
        <w:t xml:space="preserve"> </w:t>
      </w:r>
      <w:r w:rsidR="00567EE5" w:rsidRPr="008173C7">
        <w:rPr>
          <w:rFonts w:cs="Times New Roman"/>
          <w:lang w:val="en-US"/>
        </w:rPr>
        <w:t>agree;</w:t>
      </w:r>
      <w:r w:rsidRPr="008173C7">
        <w:rPr>
          <w:rFonts w:cs="Times New Roman"/>
          <w:lang w:val="en-US"/>
        </w:rPr>
        <w:t xml:space="preserve"> </w:t>
      </w:r>
      <w:r w:rsidR="00567EE5" w:rsidRPr="008173C7">
        <w:rPr>
          <w:rFonts w:cs="Times New Roman"/>
          <w:lang w:val="en-US"/>
        </w:rPr>
        <w:t xml:space="preserve">apart from </w:t>
      </w:r>
      <w:r w:rsidRPr="008173C7">
        <w:rPr>
          <w:rFonts w:cs="Times New Roman"/>
          <w:lang w:val="en-US"/>
        </w:rPr>
        <w:t xml:space="preserve">a few initiatives, notably in the health sector </w:t>
      </w:r>
      <w:r w:rsidR="00DA7E42" w:rsidRPr="00DA7E42">
        <w:rPr>
          <w:rFonts w:cs="Times New Roman"/>
          <w:lang w:val="en-US"/>
        </w:rPr>
        <w:t>(Boaz et al. 2009)</w:t>
      </w:r>
      <w:r w:rsidRPr="008173C7">
        <w:rPr>
          <w:rFonts w:cs="Times New Roman"/>
          <w:lang w:val="en-US"/>
        </w:rPr>
        <w:t xml:space="preserve">, </w:t>
      </w:r>
      <w:r w:rsidR="00567EE5" w:rsidRPr="008173C7">
        <w:rPr>
          <w:rFonts w:cs="Times New Roman"/>
          <w:lang w:val="en-US"/>
        </w:rPr>
        <w:t xml:space="preserve">the literature provides </w:t>
      </w:r>
      <w:r w:rsidRPr="008173C7">
        <w:rPr>
          <w:rFonts w:cs="Times New Roman"/>
          <w:lang w:val="en-US"/>
        </w:rPr>
        <w:t xml:space="preserve">no well-developed, comprehensive practical frameworks </w:t>
      </w:r>
      <w:r w:rsidR="0016494E">
        <w:rPr>
          <w:rFonts w:cs="Times New Roman"/>
          <w:szCs w:val="24"/>
          <w:lang w:val="en-US"/>
        </w:rPr>
        <w:t>(Almeida and</w:t>
      </w:r>
      <w:r w:rsidR="00DA7E42" w:rsidRPr="00DA7E42">
        <w:rPr>
          <w:rFonts w:cs="Times New Roman"/>
          <w:szCs w:val="24"/>
          <w:lang w:val="en-US"/>
        </w:rPr>
        <w:t xml:space="preserve"> Bá</w:t>
      </w:r>
      <w:r w:rsidR="0016494E">
        <w:rPr>
          <w:rFonts w:cs="Times New Roman"/>
          <w:szCs w:val="24"/>
          <w:lang w:val="en-US"/>
        </w:rPr>
        <w:t>scolo 2006; Cozzens and</w:t>
      </w:r>
      <w:r w:rsidR="00DA7E42" w:rsidRPr="00DA7E42">
        <w:rPr>
          <w:rFonts w:cs="Times New Roman"/>
          <w:szCs w:val="24"/>
          <w:lang w:val="en-US"/>
        </w:rPr>
        <w:t xml:space="preserve"> Snoek 2010)</w:t>
      </w:r>
      <w:r w:rsidRPr="008173C7">
        <w:rPr>
          <w:rFonts w:cs="Times New Roman"/>
          <w:lang w:val="en-US"/>
        </w:rPr>
        <w:t xml:space="preserve">, and no ready-to-use rating scales for </w:t>
      </w:r>
      <w:r w:rsidR="00361A7B" w:rsidRPr="008173C7">
        <w:rPr>
          <w:rFonts w:cs="Times New Roman"/>
          <w:lang w:val="en-US"/>
        </w:rPr>
        <w:t>assessing</w:t>
      </w:r>
      <w:r w:rsidRPr="008173C7">
        <w:rPr>
          <w:rFonts w:cs="Times New Roman"/>
          <w:lang w:val="en-US"/>
        </w:rPr>
        <w:t xml:space="preserve"> political impact </w:t>
      </w:r>
      <w:r w:rsidR="0016494E">
        <w:rPr>
          <w:rFonts w:cs="Times New Roman"/>
          <w:lang w:val="en-US"/>
        </w:rPr>
        <w:t>(Raitzer and</w:t>
      </w:r>
      <w:r w:rsidR="00DA7E42" w:rsidRPr="00DA7E42">
        <w:rPr>
          <w:rFonts w:cs="Times New Roman"/>
          <w:lang w:val="en-US"/>
        </w:rPr>
        <w:t xml:space="preserve"> Ryan 2008)</w:t>
      </w:r>
      <w:r w:rsidRPr="008173C7">
        <w:rPr>
          <w:rFonts w:cs="Times New Roman"/>
          <w:lang w:val="en-US"/>
        </w:rPr>
        <w:t xml:space="preserve">. A systematic review of </w:t>
      </w:r>
      <w:r w:rsidR="00567EE5" w:rsidRPr="008173C7">
        <w:rPr>
          <w:rFonts w:cs="Times New Roman"/>
          <w:lang w:val="en-US"/>
        </w:rPr>
        <w:t xml:space="preserve">the </w:t>
      </w:r>
      <w:r w:rsidRPr="008173C7">
        <w:rPr>
          <w:rFonts w:cs="Times New Roman"/>
          <w:lang w:val="en-US"/>
        </w:rPr>
        <w:t>literature (including gr</w:t>
      </w:r>
      <w:r w:rsidR="00567EE5" w:rsidRPr="008173C7">
        <w:rPr>
          <w:rFonts w:cs="Times New Roman"/>
          <w:lang w:val="en-US"/>
        </w:rPr>
        <w:t>a</w:t>
      </w:r>
      <w:r w:rsidRPr="008173C7">
        <w:rPr>
          <w:rFonts w:cs="Times New Roman"/>
          <w:lang w:val="en-US"/>
        </w:rPr>
        <w:t>y literature) o</w:t>
      </w:r>
      <w:r w:rsidR="00567EE5" w:rsidRPr="008173C7">
        <w:rPr>
          <w:rFonts w:cs="Times New Roman"/>
          <w:lang w:val="en-US"/>
        </w:rPr>
        <w:t>n</w:t>
      </w:r>
      <w:r w:rsidRPr="008173C7">
        <w:rPr>
          <w:rFonts w:cs="Times New Roman"/>
          <w:lang w:val="en-US"/>
        </w:rPr>
        <w:t xml:space="preserve"> impact frameworks published between 2005 and 2014 </w:t>
      </w:r>
      <w:r w:rsidR="00DA7E42" w:rsidRPr="00DA7E42">
        <w:rPr>
          <w:rFonts w:cs="Times New Roman"/>
          <w:lang w:val="en-US"/>
        </w:rPr>
        <w:t>(Greenhalgh et al. 2016)</w:t>
      </w:r>
      <w:r w:rsidRPr="008173C7">
        <w:rPr>
          <w:rFonts w:cs="Times New Roman"/>
          <w:lang w:val="en-US"/>
        </w:rPr>
        <w:t xml:space="preserve"> found that only four approaches</w:t>
      </w:r>
      <w:r w:rsidRPr="008173C7">
        <w:rPr>
          <w:rStyle w:val="Appelnotedebasdep"/>
          <w:rFonts w:cs="Times New Roman"/>
          <w:lang w:val="en-US"/>
        </w:rPr>
        <w:footnoteReference w:id="2"/>
      </w:r>
      <w:r w:rsidRPr="008173C7">
        <w:rPr>
          <w:rFonts w:cs="Times New Roman"/>
          <w:lang w:val="en-US"/>
        </w:rPr>
        <w:t xml:space="preserve"> had proven</w:t>
      </w:r>
      <w:r w:rsidR="00567EE5" w:rsidRPr="008173C7">
        <w:rPr>
          <w:rFonts w:cs="Times New Roman"/>
          <w:lang w:val="en-US"/>
        </w:rPr>
        <w:t xml:space="preserve"> sufficiently</w:t>
      </w:r>
      <w:r w:rsidRPr="008173C7">
        <w:rPr>
          <w:rFonts w:cs="Times New Roman"/>
          <w:lang w:val="en-US"/>
        </w:rPr>
        <w:t xml:space="preserve"> flexible and robust to become established in empirical studies</w:t>
      </w:r>
      <w:r w:rsidR="001C028B" w:rsidRPr="008173C7">
        <w:rPr>
          <w:rFonts w:cs="Times New Roman"/>
          <w:lang w:val="en-US"/>
        </w:rPr>
        <w:t>.</w:t>
      </w:r>
      <w:r w:rsidRPr="008173C7">
        <w:rPr>
          <w:rFonts w:cs="Times New Roman"/>
          <w:lang w:val="en-US"/>
        </w:rPr>
        <w:t xml:space="preserve"> </w:t>
      </w:r>
      <w:r w:rsidR="00567EE5" w:rsidRPr="008173C7">
        <w:rPr>
          <w:rFonts w:cs="Times New Roman"/>
          <w:lang w:val="en-US"/>
        </w:rPr>
        <w:t xml:space="preserve">However, none of them combines </w:t>
      </w:r>
      <w:r w:rsidRPr="008173C7">
        <w:rPr>
          <w:rFonts w:cs="Times New Roman"/>
          <w:lang w:val="en-US"/>
        </w:rPr>
        <w:t xml:space="preserve">all the </w:t>
      </w:r>
      <w:r w:rsidR="00567EE5" w:rsidRPr="008173C7">
        <w:rPr>
          <w:rFonts w:cs="Times New Roman"/>
          <w:lang w:val="en-US"/>
        </w:rPr>
        <w:t xml:space="preserve">attributes </w:t>
      </w:r>
      <w:r w:rsidRPr="008173C7">
        <w:rPr>
          <w:rFonts w:cs="Times New Roman"/>
          <w:lang w:val="en-US"/>
        </w:rPr>
        <w:t xml:space="preserve">we </w:t>
      </w:r>
      <w:r w:rsidR="00567EE5" w:rsidRPr="008173C7">
        <w:rPr>
          <w:rFonts w:cs="Times New Roman"/>
          <w:lang w:val="en-US"/>
        </w:rPr>
        <w:t>are interested in</w:t>
      </w:r>
      <w:r w:rsidRPr="008173C7">
        <w:rPr>
          <w:rFonts w:cs="Times New Roman"/>
          <w:lang w:val="en-US"/>
        </w:rPr>
        <w:t xml:space="preserve">: consistent </w:t>
      </w:r>
      <w:r w:rsidR="00D50439" w:rsidRPr="008173C7">
        <w:rPr>
          <w:rFonts w:cs="Times New Roman"/>
          <w:lang w:val="en-US"/>
        </w:rPr>
        <w:t>assessment</w:t>
      </w:r>
      <w:r w:rsidRPr="008173C7">
        <w:rPr>
          <w:rFonts w:cs="Times New Roman"/>
          <w:lang w:val="en-US"/>
        </w:rPr>
        <w:t xml:space="preserve"> of the impact of a growing sum of activities across time, rich description of the iterative process linking research and policy development, a non</w:t>
      </w:r>
      <w:r w:rsidR="00CB533F" w:rsidRPr="008173C7">
        <w:rPr>
          <w:rFonts w:cs="Times New Roman"/>
          <w:lang w:val="en-US"/>
        </w:rPr>
        <w:t>-</w:t>
      </w:r>
      <w:r w:rsidRPr="008173C7">
        <w:rPr>
          <w:rFonts w:cs="Times New Roman"/>
          <w:lang w:val="en-US"/>
        </w:rPr>
        <w:t xml:space="preserve">labor intensive framework </w:t>
      </w:r>
      <w:r w:rsidR="00567EE5" w:rsidRPr="008173C7">
        <w:rPr>
          <w:rFonts w:cs="Times New Roman"/>
          <w:lang w:val="en-US"/>
        </w:rPr>
        <w:t xml:space="preserve">whose costs would not </w:t>
      </w:r>
      <w:r w:rsidRPr="008173C7">
        <w:rPr>
          <w:rFonts w:cs="Times New Roman"/>
          <w:lang w:val="en-US"/>
        </w:rPr>
        <w:t>prohibit</w:t>
      </w:r>
      <w:r w:rsidR="00567EE5" w:rsidRPr="008173C7">
        <w:rPr>
          <w:rFonts w:cs="Times New Roman"/>
          <w:lang w:val="en-US"/>
        </w:rPr>
        <w:t xml:space="preserve"> its application to all </w:t>
      </w:r>
      <w:r w:rsidRPr="008173C7">
        <w:rPr>
          <w:rFonts w:cs="Times New Roman"/>
          <w:lang w:val="en-US"/>
        </w:rPr>
        <w:t>case stud</w:t>
      </w:r>
      <w:r w:rsidR="00567EE5" w:rsidRPr="008173C7">
        <w:rPr>
          <w:rFonts w:cs="Times New Roman"/>
          <w:lang w:val="en-US"/>
        </w:rPr>
        <w:t>ies</w:t>
      </w:r>
      <w:r w:rsidRPr="008173C7">
        <w:rPr>
          <w:rFonts w:cs="Times New Roman"/>
          <w:lang w:val="en-US"/>
        </w:rPr>
        <w:t xml:space="preserve">. </w:t>
      </w:r>
    </w:p>
    <w:p w14:paraId="12EEE9CC" w14:textId="5CFD9569" w:rsidR="008A003B" w:rsidRPr="008173C7" w:rsidRDefault="00962BB8" w:rsidP="000401BB">
      <w:pPr>
        <w:spacing w:line="480" w:lineRule="auto"/>
        <w:rPr>
          <w:rFonts w:cs="Times New Roman"/>
          <w:lang w:val="en-US"/>
        </w:rPr>
      </w:pPr>
      <w:r w:rsidRPr="008173C7">
        <w:rPr>
          <w:rFonts w:cs="Times New Roman"/>
          <w:lang w:val="en"/>
        </w:rPr>
        <w:t xml:space="preserve"> </w:t>
      </w:r>
      <w:r w:rsidR="00AB43FA" w:rsidRPr="008173C7">
        <w:rPr>
          <w:rFonts w:cs="Times New Roman"/>
          <w:lang w:val="en-US"/>
        </w:rPr>
        <w:t>In this paper</w:t>
      </w:r>
      <w:r w:rsidR="00A73145" w:rsidRPr="008173C7">
        <w:rPr>
          <w:rFonts w:cs="Times New Roman"/>
          <w:lang w:val="en-US"/>
        </w:rPr>
        <w:t>,</w:t>
      </w:r>
      <w:r w:rsidR="00AB43FA" w:rsidRPr="008173C7">
        <w:rPr>
          <w:rFonts w:cs="Times New Roman"/>
          <w:lang w:val="en-US"/>
        </w:rPr>
        <w:t xml:space="preserve"> we build a</w:t>
      </w:r>
      <w:r w:rsidR="00E2308D" w:rsidRPr="008173C7">
        <w:rPr>
          <w:rFonts w:cs="Times New Roman"/>
          <w:lang w:val="en-US"/>
        </w:rPr>
        <w:t>n ordinal</w:t>
      </w:r>
      <w:r w:rsidR="00AB43FA" w:rsidRPr="008173C7">
        <w:rPr>
          <w:rFonts w:cs="Times New Roman"/>
          <w:lang w:val="en-US"/>
        </w:rPr>
        <w:t xml:space="preserve"> </w:t>
      </w:r>
      <w:r w:rsidR="001C18DF" w:rsidRPr="008173C7">
        <w:rPr>
          <w:rFonts w:cs="Times New Roman"/>
          <w:lang w:val="en-US"/>
        </w:rPr>
        <w:t>rating scale</w:t>
      </w:r>
      <w:r w:rsidR="00AB43FA" w:rsidRPr="008173C7">
        <w:rPr>
          <w:rFonts w:cs="Times New Roman"/>
          <w:lang w:val="en-US"/>
        </w:rPr>
        <w:t xml:space="preserve"> </w:t>
      </w:r>
      <w:r w:rsidR="008B6CBB" w:rsidRPr="008173C7">
        <w:rPr>
          <w:rFonts w:cs="Times New Roman"/>
          <w:lang w:val="en-US"/>
        </w:rPr>
        <w:t xml:space="preserve">for the assessment of </w:t>
      </w:r>
      <w:r w:rsidR="00AB43FA" w:rsidRPr="008173C7">
        <w:rPr>
          <w:rFonts w:cs="Times New Roman"/>
          <w:lang w:val="en-US"/>
        </w:rPr>
        <w:t>political impact</w:t>
      </w:r>
      <w:r w:rsidR="003710A0" w:rsidRPr="008173C7">
        <w:rPr>
          <w:rFonts w:cs="Times New Roman"/>
          <w:lang w:val="en-US"/>
        </w:rPr>
        <w:t xml:space="preserve"> based on </w:t>
      </w:r>
      <w:r w:rsidR="00527FB6" w:rsidRPr="008173C7">
        <w:rPr>
          <w:rFonts w:cs="Times New Roman"/>
          <w:lang w:val="en-US"/>
        </w:rPr>
        <w:t xml:space="preserve">a review of the literature, </w:t>
      </w:r>
      <w:r w:rsidR="00AB43FA" w:rsidRPr="008173C7">
        <w:rPr>
          <w:rFonts w:cs="Times New Roman"/>
          <w:lang w:val="en-US"/>
        </w:rPr>
        <w:t xml:space="preserve">qualitative </w:t>
      </w:r>
      <w:r w:rsidR="007607C4" w:rsidRPr="008173C7">
        <w:rPr>
          <w:rFonts w:cs="Times New Roman"/>
          <w:lang w:val="en-US"/>
        </w:rPr>
        <w:t>evidence</w:t>
      </w:r>
      <w:r w:rsidR="00AB43FA" w:rsidRPr="008173C7">
        <w:rPr>
          <w:rFonts w:cs="Times New Roman"/>
          <w:lang w:val="en-US"/>
        </w:rPr>
        <w:t xml:space="preserve"> of </w:t>
      </w:r>
      <w:r w:rsidR="00233B86" w:rsidRPr="008173C7">
        <w:rPr>
          <w:rFonts w:cs="Times New Roman"/>
          <w:lang w:val="en-US"/>
        </w:rPr>
        <w:t xml:space="preserve">political </w:t>
      </w:r>
      <w:r w:rsidR="00AB43FA" w:rsidRPr="008173C7">
        <w:rPr>
          <w:rFonts w:cs="Times New Roman"/>
          <w:lang w:val="en-US"/>
        </w:rPr>
        <w:t>impact</w:t>
      </w:r>
      <w:r w:rsidR="00527FB6" w:rsidRPr="008173C7">
        <w:rPr>
          <w:rFonts w:cs="Times New Roman"/>
          <w:lang w:val="en-US"/>
        </w:rPr>
        <w:t xml:space="preserve"> </w:t>
      </w:r>
      <w:r w:rsidR="003710A0" w:rsidRPr="008173C7">
        <w:rPr>
          <w:rFonts w:cs="Times New Roman"/>
          <w:lang w:val="en-US"/>
        </w:rPr>
        <w:t xml:space="preserve">gleaned from </w:t>
      </w:r>
      <w:r w:rsidR="00527FB6" w:rsidRPr="008173C7">
        <w:rPr>
          <w:rFonts w:cs="Times New Roman"/>
          <w:lang w:val="en-US"/>
        </w:rPr>
        <w:t>a collection of case studies</w:t>
      </w:r>
      <w:r w:rsidR="003710A0" w:rsidRPr="008173C7">
        <w:rPr>
          <w:rFonts w:cs="Times New Roman"/>
          <w:lang w:val="en-US"/>
        </w:rPr>
        <w:t>,</w:t>
      </w:r>
      <w:r w:rsidR="00527FB6" w:rsidRPr="008173C7">
        <w:rPr>
          <w:rFonts w:cs="Times New Roman"/>
          <w:lang w:val="en-US"/>
        </w:rPr>
        <w:t xml:space="preserve"> and </w:t>
      </w:r>
      <w:r w:rsidR="006E761D" w:rsidRPr="008173C7">
        <w:rPr>
          <w:rFonts w:cs="Times New Roman"/>
          <w:lang w:val="en-US"/>
        </w:rPr>
        <w:t xml:space="preserve">an </w:t>
      </w:r>
      <w:r w:rsidR="000B2952" w:rsidRPr="008173C7">
        <w:rPr>
          <w:rFonts w:cs="Times New Roman"/>
          <w:lang w:val="en-US"/>
        </w:rPr>
        <w:t>expert panel</w:t>
      </w:r>
      <w:r w:rsidR="003710A0" w:rsidRPr="008173C7">
        <w:rPr>
          <w:rFonts w:cs="Times New Roman"/>
          <w:lang w:val="en-US"/>
        </w:rPr>
        <w:t xml:space="preserve">, that enables objectification of </w:t>
      </w:r>
      <w:r w:rsidR="00A3490B" w:rsidRPr="008173C7">
        <w:rPr>
          <w:rFonts w:cs="Times New Roman"/>
          <w:lang w:val="en-US"/>
        </w:rPr>
        <w:t xml:space="preserve">assessment </w:t>
      </w:r>
      <w:r w:rsidR="003710A0" w:rsidRPr="008173C7">
        <w:rPr>
          <w:rFonts w:cs="Times New Roman"/>
          <w:lang w:val="en-US"/>
        </w:rPr>
        <w:t xml:space="preserve">of </w:t>
      </w:r>
      <w:r w:rsidR="00A3490B" w:rsidRPr="008173C7">
        <w:rPr>
          <w:rFonts w:cs="Times New Roman"/>
          <w:lang w:val="en-US"/>
        </w:rPr>
        <w:t xml:space="preserve">the intensity of </w:t>
      </w:r>
      <w:r w:rsidR="00AF07E1" w:rsidRPr="008173C7">
        <w:rPr>
          <w:rFonts w:cs="Times New Roman"/>
          <w:lang w:val="en-US"/>
        </w:rPr>
        <w:t>political</w:t>
      </w:r>
      <w:r w:rsidR="00917E3C" w:rsidRPr="008173C7">
        <w:rPr>
          <w:rFonts w:cs="Times New Roman"/>
          <w:lang w:val="en-US"/>
        </w:rPr>
        <w:t xml:space="preserve"> impact.</w:t>
      </w:r>
      <w:r w:rsidR="00A3490B" w:rsidRPr="008173C7">
        <w:rPr>
          <w:rFonts w:cs="Times New Roman"/>
          <w:lang w:val="en-US"/>
        </w:rPr>
        <w:t xml:space="preserve"> </w:t>
      </w:r>
      <w:r w:rsidR="005B1B4E" w:rsidRPr="008173C7">
        <w:rPr>
          <w:rFonts w:cs="Times New Roman"/>
          <w:lang w:val="en-US"/>
        </w:rPr>
        <w:t xml:space="preserve">Our aim was to build a rating scale that is consistent, comprehensive and sufficiently general to allow it to be applied to evaluate all cases that might possibly generate political impact. For building this rating scale, we drew on the judgment of experts who intervened </w:t>
      </w:r>
      <w:r w:rsidR="00B9296E" w:rsidRPr="008173C7">
        <w:rPr>
          <w:rFonts w:cs="Times New Roman"/>
          <w:lang w:val="en-US"/>
        </w:rPr>
        <w:t xml:space="preserve">in an iterative process comprising of several individual and collective work. </w:t>
      </w:r>
    </w:p>
    <w:p w14:paraId="2ECC3C83" w14:textId="6DC24A80" w:rsidR="00A606A7" w:rsidRPr="008173C7" w:rsidRDefault="005708EF" w:rsidP="000401BB">
      <w:pPr>
        <w:spacing w:line="480" w:lineRule="auto"/>
        <w:rPr>
          <w:rFonts w:cs="Times New Roman"/>
          <w:lang w:val="en-US"/>
        </w:rPr>
      </w:pPr>
      <w:r w:rsidRPr="008173C7">
        <w:rPr>
          <w:rFonts w:cs="Times New Roman"/>
          <w:lang w:val="en-US"/>
        </w:rPr>
        <w:t xml:space="preserve">We </w:t>
      </w:r>
      <w:r w:rsidR="00A606A7" w:rsidRPr="008173C7">
        <w:rPr>
          <w:rFonts w:cs="Times New Roman"/>
          <w:lang w:val="en-US"/>
        </w:rPr>
        <w:t xml:space="preserve">first review the main </w:t>
      </w:r>
      <w:r w:rsidR="00A73145" w:rsidRPr="008173C7">
        <w:rPr>
          <w:rFonts w:cs="Times New Roman"/>
          <w:lang w:val="en-US"/>
        </w:rPr>
        <w:t xml:space="preserve">works and </w:t>
      </w:r>
      <w:r w:rsidR="003710A0" w:rsidRPr="008173C7">
        <w:rPr>
          <w:rFonts w:cs="Times New Roman"/>
          <w:lang w:val="en-US"/>
        </w:rPr>
        <w:t xml:space="preserve">the </w:t>
      </w:r>
      <w:r w:rsidR="00A606A7" w:rsidRPr="008173C7">
        <w:rPr>
          <w:rFonts w:cs="Times New Roman"/>
          <w:lang w:val="en-US"/>
        </w:rPr>
        <w:t xml:space="preserve">issues addressed in the literature on political impact assessment </w:t>
      </w:r>
      <w:r w:rsidR="009B71BC" w:rsidRPr="008173C7">
        <w:rPr>
          <w:rFonts w:cs="Times New Roman"/>
          <w:lang w:val="en-US"/>
        </w:rPr>
        <w:t>(section 1</w:t>
      </w:r>
      <w:r w:rsidR="00A606A7" w:rsidRPr="008173C7">
        <w:rPr>
          <w:rFonts w:cs="Times New Roman"/>
          <w:lang w:val="en-US"/>
        </w:rPr>
        <w:t xml:space="preserve">). </w:t>
      </w:r>
      <w:r w:rsidR="003710A0" w:rsidRPr="008173C7">
        <w:rPr>
          <w:rFonts w:cs="Times New Roman"/>
          <w:lang w:val="en-US"/>
        </w:rPr>
        <w:t xml:space="preserve">On the basis of </w:t>
      </w:r>
      <w:r w:rsidR="00A606A7" w:rsidRPr="008173C7">
        <w:rPr>
          <w:rFonts w:cs="Times New Roman"/>
          <w:lang w:val="en-US"/>
        </w:rPr>
        <w:t xml:space="preserve">these key conceptual and practical issues, we </w:t>
      </w:r>
      <w:r w:rsidR="00A73145" w:rsidRPr="008173C7">
        <w:rPr>
          <w:rFonts w:cs="Times New Roman"/>
          <w:lang w:val="en-US"/>
        </w:rPr>
        <w:t xml:space="preserve">describe </w:t>
      </w:r>
      <w:r w:rsidR="00A606A7" w:rsidRPr="008173C7">
        <w:rPr>
          <w:rFonts w:cs="Times New Roman"/>
          <w:lang w:val="en-US"/>
        </w:rPr>
        <w:t xml:space="preserve">the steps </w:t>
      </w:r>
      <w:r w:rsidR="003710A0" w:rsidRPr="008173C7">
        <w:rPr>
          <w:rFonts w:cs="Times New Roman"/>
          <w:lang w:val="en-US"/>
        </w:rPr>
        <w:t xml:space="preserve">taken in the </w:t>
      </w:r>
      <w:r w:rsidR="00A606A7" w:rsidRPr="008173C7">
        <w:rPr>
          <w:rFonts w:cs="Times New Roman"/>
          <w:lang w:val="en-US"/>
        </w:rPr>
        <w:t xml:space="preserve">ASIRPA </w:t>
      </w:r>
      <w:r w:rsidR="007D3BE4" w:rsidRPr="008173C7">
        <w:rPr>
          <w:rFonts w:cs="Times New Roman"/>
          <w:lang w:val="en-US"/>
        </w:rPr>
        <w:t>approach</w:t>
      </w:r>
      <w:r w:rsidR="003710A0" w:rsidRPr="008173C7">
        <w:rPr>
          <w:rFonts w:cs="Times New Roman"/>
          <w:lang w:val="en-US"/>
        </w:rPr>
        <w:t xml:space="preserve"> to design </w:t>
      </w:r>
      <w:r w:rsidR="00A606A7" w:rsidRPr="008173C7">
        <w:rPr>
          <w:rFonts w:cs="Times New Roman"/>
          <w:lang w:val="en-US"/>
        </w:rPr>
        <w:t xml:space="preserve">an original and operational methodological tool to assess </w:t>
      </w:r>
      <w:r w:rsidR="00A73145" w:rsidRPr="008173C7">
        <w:rPr>
          <w:rFonts w:cs="Times New Roman"/>
          <w:lang w:val="en-US"/>
        </w:rPr>
        <w:t xml:space="preserve">the </w:t>
      </w:r>
      <w:r w:rsidR="00A606A7" w:rsidRPr="008173C7">
        <w:rPr>
          <w:rFonts w:cs="Times New Roman"/>
          <w:lang w:val="en-US"/>
        </w:rPr>
        <w:t>politic</w:t>
      </w:r>
      <w:r w:rsidR="009B71BC" w:rsidRPr="008173C7">
        <w:rPr>
          <w:rFonts w:cs="Times New Roman"/>
          <w:lang w:val="en-US"/>
        </w:rPr>
        <w:t>al impact of research (section 2). Section 3</w:t>
      </w:r>
      <w:r w:rsidR="00A606A7" w:rsidRPr="008173C7">
        <w:rPr>
          <w:rFonts w:cs="Times New Roman"/>
          <w:lang w:val="en-US"/>
        </w:rPr>
        <w:t xml:space="preserve"> discusses </w:t>
      </w:r>
      <w:r w:rsidR="00A73145" w:rsidRPr="008173C7">
        <w:rPr>
          <w:rFonts w:cs="Times New Roman"/>
          <w:lang w:val="en-US"/>
        </w:rPr>
        <w:t xml:space="preserve">how </w:t>
      </w:r>
      <w:r w:rsidR="006E761D" w:rsidRPr="008173C7">
        <w:rPr>
          <w:rFonts w:cs="Times New Roman"/>
          <w:lang w:val="en-US"/>
        </w:rPr>
        <w:t xml:space="preserve">this </w:t>
      </w:r>
      <w:r w:rsidR="00A606A7" w:rsidRPr="008173C7">
        <w:rPr>
          <w:rFonts w:cs="Times New Roman"/>
          <w:lang w:val="en-US"/>
        </w:rPr>
        <w:t>approach overcome</w:t>
      </w:r>
      <w:r w:rsidR="00A73145" w:rsidRPr="008173C7">
        <w:rPr>
          <w:rFonts w:cs="Times New Roman"/>
          <w:lang w:val="en-US"/>
        </w:rPr>
        <w:t>s</w:t>
      </w:r>
      <w:r w:rsidR="00A606A7" w:rsidRPr="008173C7">
        <w:rPr>
          <w:rFonts w:cs="Times New Roman"/>
          <w:lang w:val="en-US"/>
        </w:rPr>
        <w:t xml:space="preserve"> some of the limitations </w:t>
      </w:r>
      <w:r w:rsidR="00A73145" w:rsidRPr="008173C7">
        <w:rPr>
          <w:rFonts w:cs="Times New Roman"/>
          <w:lang w:val="en-US"/>
        </w:rPr>
        <w:t xml:space="preserve">in </w:t>
      </w:r>
      <w:r w:rsidR="00A606A7" w:rsidRPr="008173C7">
        <w:rPr>
          <w:rFonts w:cs="Times New Roman"/>
          <w:lang w:val="en-US"/>
        </w:rPr>
        <w:t>earlier work</w:t>
      </w:r>
      <w:r w:rsidR="00693697" w:rsidRPr="008173C7">
        <w:rPr>
          <w:rFonts w:cs="Times New Roman"/>
          <w:lang w:val="en-US"/>
        </w:rPr>
        <w:t>s</w:t>
      </w:r>
      <w:r w:rsidR="00A606A7" w:rsidRPr="008173C7">
        <w:rPr>
          <w:rFonts w:cs="Times New Roman"/>
          <w:lang w:val="en-US"/>
        </w:rPr>
        <w:t>, and provides some insights into</w:t>
      </w:r>
      <w:r w:rsidR="00693697" w:rsidRPr="008173C7">
        <w:rPr>
          <w:rFonts w:cs="Times New Roman"/>
          <w:lang w:val="en-US"/>
        </w:rPr>
        <w:t xml:space="preserve"> </w:t>
      </w:r>
      <w:r w:rsidR="00FE72C3" w:rsidRPr="008173C7">
        <w:rPr>
          <w:rFonts w:cs="Times New Roman"/>
          <w:lang w:val="en-US"/>
        </w:rPr>
        <w:t xml:space="preserve">the </w:t>
      </w:r>
      <w:r w:rsidR="00693697" w:rsidRPr="008173C7">
        <w:rPr>
          <w:rFonts w:cs="Times New Roman"/>
          <w:lang w:val="en-US"/>
        </w:rPr>
        <w:t xml:space="preserve">organizational learning </w:t>
      </w:r>
      <w:r w:rsidR="003710A0" w:rsidRPr="008173C7">
        <w:rPr>
          <w:rFonts w:cs="Times New Roman"/>
          <w:lang w:val="en-US"/>
        </w:rPr>
        <w:t xml:space="preserve">gained from </w:t>
      </w:r>
      <w:r w:rsidR="00A606A7" w:rsidRPr="008173C7">
        <w:rPr>
          <w:rFonts w:cs="Times New Roman"/>
          <w:lang w:val="en-US"/>
        </w:rPr>
        <w:t xml:space="preserve">feedback </w:t>
      </w:r>
      <w:r w:rsidR="00FE72C3" w:rsidRPr="008173C7">
        <w:rPr>
          <w:rFonts w:cs="Times New Roman"/>
          <w:lang w:val="en-US"/>
        </w:rPr>
        <w:t xml:space="preserve">on </w:t>
      </w:r>
      <w:r w:rsidR="00A606A7" w:rsidRPr="008173C7">
        <w:rPr>
          <w:rFonts w:cs="Times New Roman"/>
          <w:lang w:val="en-US"/>
        </w:rPr>
        <w:t xml:space="preserve">its implementation </w:t>
      </w:r>
      <w:r w:rsidR="003710A0" w:rsidRPr="008173C7">
        <w:rPr>
          <w:rFonts w:cs="Times New Roman"/>
          <w:lang w:val="en-US"/>
        </w:rPr>
        <w:t>in</w:t>
      </w:r>
      <w:r w:rsidR="00A606A7" w:rsidRPr="008173C7">
        <w:rPr>
          <w:rFonts w:cs="Times New Roman"/>
          <w:lang w:val="en-US"/>
        </w:rPr>
        <w:t xml:space="preserve"> INRA.</w:t>
      </w:r>
      <w:r w:rsidR="00626914" w:rsidRPr="008173C7">
        <w:rPr>
          <w:rFonts w:cs="Times New Roman"/>
          <w:lang w:val="en-US"/>
        </w:rPr>
        <w:t xml:space="preserve"> Section 4 concludes.</w:t>
      </w:r>
    </w:p>
    <w:p w14:paraId="6C3A4B66" w14:textId="77777777" w:rsidR="00774D58" w:rsidRPr="008173C7" w:rsidRDefault="005B1824" w:rsidP="000401BB">
      <w:pPr>
        <w:pStyle w:val="Titre1"/>
        <w:numPr>
          <w:ilvl w:val="0"/>
          <w:numId w:val="7"/>
        </w:numPr>
        <w:spacing w:after="200" w:line="480" w:lineRule="auto"/>
        <w:rPr>
          <w:rFonts w:ascii="Times New Roman" w:hAnsi="Times New Roman" w:cs="Times New Roman"/>
          <w:color w:val="auto"/>
          <w:lang w:val="en-US"/>
        </w:rPr>
      </w:pPr>
      <w:r w:rsidRPr="008173C7">
        <w:rPr>
          <w:rFonts w:ascii="Times New Roman" w:hAnsi="Times New Roman" w:cs="Times New Roman"/>
          <w:color w:val="auto"/>
          <w:lang w:val="en-US"/>
        </w:rPr>
        <w:t>A</w:t>
      </w:r>
      <w:r w:rsidR="00E17CCE" w:rsidRPr="008173C7">
        <w:rPr>
          <w:rFonts w:ascii="Times New Roman" w:hAnsi="Times New Roman" w:cs="Times New Roman"/>
          <w:color w:val="auto"/>
          <w:lang w:val="en-US"/>
        </w:rPr>
        <w:t xml:space="preserve"> practical framework for assessing </w:t>
      </w:r>
      <w:r w:rsidR="00FE72C3" w:rsidRPr="008173C7">
        <w:rPr>
          <w:rFonts w:ascii="Times New Roman" w:hAnsi="Times New Roman" w:cs="Times New Roman"/>
          <w:color w:val="auto"/>
          <w:lang w:val="en-US"/>
        </w:rPr>
        <w:t xml:space="preserve">the </w:t>
      </w:r>
      <w:r w:rsidR="00E17CCE" w:rsidRPr="008173C7">
        <w:rPr>
          <w:rFonts w:ascii="Times New Roman" w:hAnsi="Times New Roman" w:cs="Times New Roman"/>
          <w:color w:val="auto"/>
          <w:lang w:val="en-US"/>
        </w:rPr>
        <w:t>political impact of research</w:t>
      </w:r>
    </w:p>
    <w:p w14:paraId="2F8AC9E6" w14:textId="18B96DE3" w:rsidR="00BC1ED1" w:rsidRPr="008173C7" w:rsidRDefault="00621446" w:rsidP="000401BB">
      <w:pPr>
        <w:spacing w:line="480" w:lineRule="auto"/>
        <w:rPr>
          <w:rFonts w:cs="Times New Roman"/>
          <w:bCs/>
          <w:lang w:val="en-US"/>
        </w:rPr>
      </w:pPr>
      <w:r w:rsidRPr="008173C7">
        <w:rPr>
          <w:rFonts w:cs="Times New Roman"/>
          <w:bCs/>
          <w:lang w:val="en-US"/>
        </w:rPr>
        <w:t xml:space="preserve">Two </w:t>
      </w:r>
      <w:r w:rsidR="003710A0" w:rsidRPr="008173C7">
        <w:rPr>
          <w:rFonts w:cs="Times New Roman"/>
          <w:bCs/>
          <w:lang w:val="en-US"/>
        </w:rPr>
        <w:t>key issues emerge from th</w:t>
      </w:r>
      <w:r w:rsidR="00FE72C3" w:rsidRPr="008173C7">
        <w:rPr>
          <w:rFonts w:cs="Times New Roman"/>
          <w:bCs/>
          <w:lang w:val="en-US"/>
        </w:rPr>
        <w:t xml:space="preserve">e </w:t>
      </w:r>
      <w:r w:rsidR="00FE72C3" w:rsidRPr="008173C7">
        <w:rPr>
          <w:rFonts w:cs="Times New Roman"/>
          <w:lang w:val="en-US"/>
        </w:rPr>
        <w:t>recent literature on political impact assessment</w:t>
      </w:r>
      <w:r w:rsidR="00696379" w:rsidRPr="008173C7">
        <w:rPr>
          <w:rFonts w:cs="Times New Roman"/>
          <w:lang w:val="en-US"/>
        </w:rPr>
        <w:t xml:space="preserve">. First, </w:t>
      </w:r>
      <w:r w:rsidR="00953767" w:rsidRPr="008173C7">
        <w:rPr>
          <w:rFonts w:cs="Times New Roman"/>
          <w:lang w:val="en-US"/>
        </w:rPr>
        <w:t xml:space="preserve">conceptual delineation of the scope of political impact is </w:t>
      </w:r>
      <w:r w:rsidR="003710A0" w:rsidRPr="008173C7">
        <w:rPr>
          <w:rFonts w:cs="Times New Roman"/>
          <w:lang w:val="en-US"/>
        </w:rPr>
        <w:t xml:space="preserve">the </w:t>
      </w:r>
      <w:r w:rsidR="00953767" w:rsidRPr="008173C7">
        <w:rPr>
          <w:rFonts w:cs="Times New Roman"/>
          <w:lang w:val="en-US"/>
        </w:rPr>
        <w:t xml:space="preserve">subject </w:t>
      </w:r>
      <w:r w:rsidR="003710A0" w:rsidRPr="008173C7">
        <w:rPr>
          <w:rFonts w:cs="Times New Roman"/>
          <w:lang w:val="en-US"/>
        </w:rPr>
        <w:t>of debate</w:t>
      </w:r>
      <w:r w:rsidR="00953767" w:rsidRPr="008173C7">
        <w:rPr>
          <w:rFonts w:cs="Times New Roman"/>
          <w:lang w:val="en-US"/>
        </w:rPr>
        <w:t xml:space="preserve">. Second, </w:t>
      </w:r>
      <w:r w:rsidR="00863530" w:rsidRPr="008173C7">
        <w:rPr>
          <w:rFonts w:cs="Times New Roman"/>
          <w:lang w:val="en-US"/>
        </w:rPr>
        <w:t>science</w:t>
      </w:r>
      <w:r w:rsidR="00696379" w:rsidRPr="008173C7">
        <w:rPr>
          <w:rFonts w:cs="Times New Roman"/>
          <w:lang w:val="en-US"/>
        </w:rPr>
        <w:t xml:space="preserve"> </w:t>
      </w:r>
      <w:r w:rsidR="00FE72C3" w:rsidRPr="008173C7">
        <w:rPr>
          <w:rFonts w:cs="Times New Roman"/>
          <w:lang w:val="en-US"/>
        </w:rPr>
        <w:t xml:space="preserve">and its impact on policy </w:t>
      </w:r>
      <w:r w:rsidR="00435E7B" w:rsidRPr="008173C7">
        <w:rPr>
          <w:rFonts w:cs="Times New Roman"/>
          <w:lang w:val="en-US"/>
        </w:rPr>
        <w:t>ha</w:t>
      </w:r>
      <w:r w:rsidR="003710A0" w:rsidRPr="008173C7">
        <w:rPr>
          <w:rFonts w:cs="Times New Roman"/>
          <w:lang w:val="en-US"/>
        </w:rPr>
        <w:t>ve</w:t>
      </w:r>
      <w:r w:rsidR="00FE72C3" w:rsidRPr="008173C7">
        <w:rPr>
          <w:rFonts w:cs="Times New Roman"/>
          <w:lang w:val="en-US"/>
        </w:rPr>
        <w:t xml:space="preserve"> for long</w:t>
      </w:r>
      <w:r w:rsidR="00696379" w:rsidRPr="008173C7">
        <w:rPr>
          <w:rFonts w:cs="Times New Roman"/>
          <w:lang w:val="en-US"/>
        </w:rPr>
        <w:t xml:space="preserve"> been studied </w:t>
      </w:r>
      <w:r w:rsidR="00FE72C3" w:rsidRPr="008173C7">
        <w:rPr>
          <w:rFonts w:cs="Times New Roman"/>
          <w:lang w:val="en-US"/>
        </w:rPr>
        <w:t xml:space="preserve">using </w:t>
      </w:r>
      <w:r w:rsidR="00435E7B" w:rsidRPr="008173C7">
        <w:rPr>
          <w:rFonts w:cs="Times New Roman"/>
          <w:lang w:val="en-US"/>
        </w:rPr>
        <w:t>a linear process</w:t>
      </w:r>
      <w:r w:rsidR="00696379" w:rsidRPr="008173C7">
        <w:rPr>
          <w:rFonts w:cs="Times New Roman"/>
          <w:lang w:val="en-US"/>
        </w:rPr>
        <w:t xml:space="preserve">. Recent conceptual frameworks </w:t>
      </w:r>
      <w:r w:rsidR="00FE72C3" w:rsidRPr="008173C7">
        <w:rPr>
          <w:rFonts w:cs="Times New Roman"/>
          <w:lang w:val="en-US"/>
        </w:rPr>
        <w:t xml:space="preserve">to account </w:t>
      </w:r>
      <w:r w:rsidR="00696379" w:rsidRPr="008173C7">
        <w:rPr>
          <w:rFonts w:cs="Times New Roman"/>
          <w:lang w:val="en-US"/>
        </w:rPr>
        <w:t xml:space="preserve">for </w:t>
      </w:r>
      <w:r w:rsidRPr="008173C7">
        <w:rPr>
          <w:rFonts w:cs="Times New Roman"/>
          <w:lang w:val="en-US"/>
        </w:rPr>
        <w:t>the</w:t>
      </w:r>
      <w:r w:rsidR="00FE72C3" w:rsidRPr="008173C7">
        <w:rPr>
          <w:rFonts w:cs="Times New Roman"/>
          <w:lang w:val="en-US"/>
        </w:rPr>
        <w:t xml:space="preserve"> </w:t>
      </w:r>
      <w:r w:rsidR="00435E7B" w:rsidRPr="008173C7">
        <w:rPr>
          <w:rFonts w:cs="Times New Roman"/>
          <w:lang w:val="en-US"/>
        </w:rPr>
        <w:t>complex</w:t>
      </w:r>
      <w:r w:rsidRPr="008173C7">
        <w:rPr>
          <w:rFonts w:cs="Times New Roman"/>
          <w:lang w:val="en-US"/>
        </w:rPr>
        <w:t>ity of the</w:t>
      </w:r>
      <w:r w:rsidR="00435E7B" w:rsidRPr="008173C7">
        <w:rPr>
          <w:rFonts w:cs="Times New Roman"/>
          <w:lang w:val="en-US"/>
        </w:rPr>
        <w:t xml:space="preserve"> process</w:t>
      </w:r>
      <w:r w:rsidR="00FE72C3" w:rsidRPr="008173C7">
        <w:rPr>
          <w:rFonts w:cs="Times New Roman"/>
          <w:lang w:val="en-US"/>
        </w:rPr>
        <w:t xml:space="preserve"> are affecting </w:t>
      </w:r>
      <w:r w:rsidR="00885245" w:rsidRPr="008173C7">
        <w:rPr>
          <w:rFonts w:cs="Times New Roman"/>
          <w:lang w:val="en-US"/>
        </w:rPr>
        <w:t>how the</w:t>
      </w:r>
      <w:r w:rsidR="00C62B6B" w:rsidRPr="008173C7">
        <w:rPr>
          <w:rFonts w:cs="Times New Roman"/>
          <w:lang w:val="en-US"/>
        </w:rPr>
        <w:t xml:space="preserve"> contribution of research to polit</w:t>
      </w:r>
      <w:r w:rsidR="00B22795">
        <w:rPr>
          <w:rFonts w:cs="Times New Roman"/>
          <w:lang w:val="en-US"/>
        </w:rPr>
        <w:t>ical impact should be assessed.</w:t>
      </w:r>
      <w:r w:rsidRPr="008173C7">
        <w:rPr>
          <w:rFonts w:cs="Times New Roman"/>
          <w:lang w:val="en-US"/>
        </w:rPr>
        <w:t xml:space="preserve"> Yet </w:t>
      </w:r>
      <w:r w:rsidR="00863530" w:rsidRPr="008173C7">
        <w:rPr>
          <w:rFonts w:cs="Times New Roman"/>
          <w:lang w:val="en-US"/>
        </w:rPr>
        <w:t>very few practical methods</w:t>
      </w:r>
      <w:r w:rsidR="00C62B6B" w:rsidRPr="008173C7">
        <w:rPr>
          <w:rFonts w:cs="Times New Roman"/>
          <w:lang w:val="en-US"/>
        </w:rPr>
        <w:t xml:space="preserve"> derived from </w:t>
      </w:r>
      <w:r w:rsidRPr="008173C7">
        <w:rPr>
          <w:rFonts w:cs="Times New Roman"/>
          <w:lang w:val="en-US"/>
        </w:rPr>
        <w:t xml:space="preserve">recent </w:t>
      </w:r>
      <w:r w:rsidR="00C62B6B" w:rsidRPr="008173C7">
        <w:rPr>
          <w:rFonts w:cs="Times New Roman"/>
          <w:lang w:val="en-US"/>
        </w:rPr>
        <w:t>conceptual models of knowledge flows have been</w:t>
      </w:r>
      <w:r w:rsidR="00863530" w:rsidRPr="008173C7">
        <w:rPr>
          <w:rFonts w:cs="Times New Roman"/>
          <w:lang w:val="en-US"/>
        </w:rPr>
        <w:t xml:space="preserve"> implemented to assess </w:t>
      </w:r>
      <w:r w:rsidR="002222EE" w:rsidRPr="008173C7">
        <w:rPr>
          <w:rFonts w:cs="Times New Roman"/>
          <w:lang w:val="en-US"/>
        </w:rPr>
        <w:t xml:space="preserve">the </w:t>
      </w:r>
      <w:r w:rsidR="00863530" w:rsidRPr="008173C7">
        <w:rPr>
          <w:rFonts w:cs="Times New Roman"/>
          <w:lang w:val="en-US"/>
        </w:rPr>
        <w:t>political impact of research programs or institutions.</w:t>
      </w:r>
    </w:p>
    <w:p w14:paraId="40310F13" w14:textId="0072B63E" w:rsidR="00BC1ED1" w:rsidRPr="008173C7" w:rsidRDefault="00BC1ED1" w:rsidP="000401BB">
      <w:pPr>
        <w:pStyle w:val="Titre3"/>
        <w:spacing w:line="480" w:lineRule="auto"/>
        <w:rPr>
          <w:rFonts w:ascii="Times New Roman" w:hAnsi="Times New Roman" w:cs="Times New Roman"/>
          <w:color w:val="auto"/>
          <w:lang w:val="en-US"/>
        </w:rPr>
      </w:pPr>
      <w:r w:rsidRPr="008173C7">
        <w:rPr>
          <w:rFonts w:ascii="Times New Roman" w:hAnsi="Times New Roman" w:cs="Times New Roman"/>
          <w:color w:val="auto"/>
          <w:lang w:val="en-US"/>
        </w:rPr>
        <w:t>1.1 Delineating the political impact of research</w:t>
      </w:r>
    </w:p>
    <w:p w14:paraId="3AF29E1A" w14:textId="7DD03657" w:rsidR="006508EA" w:rsidRPr="008173C7" w:rsidRDefault="00A30910" w:rsidP="000401BB">
      <w:pPr>
        <w:spacing w:line="480" w:lineRule="auto"/>
        <w:rPr>
          <w:rFonts w:cs="Times New Roman"/>
          <w:bCs/>
          <w:lang w:val="en-US"/>
        </w:rPr>
      </w:pPr>
      <w:r w:rsidRPr="008173C7">
        <w:rPr>
          <w:rFonts w:cs="Times New Roman"/>
          <w:bCs/>
          <w:lang w:val="en-US"/>
        </w:rPr>
        <w:t xml:space="preserve">It is important to </w:t>
      </w:r>
      <w:r w:rsidR="00BC1ED1" w:rsidRPr="008173C7">
        <w:rPr>
          <w:rFonts w:cs="Times New Roman"/>
          <w:bCs/>
          <w:lang w:val="en-US"/>
        </w:rPr>
        <w:t xml:space="preserve">start </w:t>
      </w:r>
      <w:r w:rsidRPr="008173C7">
        <w:rPr>
          <w:rFonts w:cs="Times New Roman"/>
          <w:bCs/>
          <w:lang w:val="en-US"/>
        </w:rPr>
        <w:t>by providing</w:t>
      </w:r>
      <w:r w:rsidR="001D1915" w:rsidRPr="008173C7">
        <w:rPr>
          <w:rFonts w:cs="Times New Roman"/>
          <w:bCs/>
          <w:lang w:val="en-US"/>
        </w:rPr>
        <w:t xml:space="preserve"> </w:t>
      </w:r>
      <w:r w:rsidR="00BC1ED1" w:rsidRPr="008173C7">
        <w:rPr>
          <w:rFonts w:cs="Times New Roman"/>
          <w:bCs/>
          <w:lang w:val="en-US"/>
        </w:rPr>
        <w:t>a conceptual definition of the political impact of research</w:t>
      </w:r>
      <w:r w:rsidR="00BC1ED1" w:rsidRPr="008173C7">
        <w:rPr>
          <w:rFonts w:cs="Times New Roman"/>
          <w:lang w:val="en-US"/>
        </w:rPr>
        <w:t xml:space="preserve"> </w:t>
      </w:r>
      <w:r w:rsidR="00DA7E42" w:rsidRPr="00DA7E42">
        <w:rPr>
          <w:rFonts w:cs="Times New Roman"/>
          <w:lang w:val="en-US"/>
        </w:rPr>
        <w:t>(Bornmann 2013; Brewer 2011; Donovan 2011)</w:t>
      </w:r>
      <w:r w:rsidR="00BC1ED1" w:rsidRPr="008173C7">
        <w:rPr>
          <w:rFonts w:cs="Times New Roman"/>
          <w:lang w:val="en-US"/>
        </w:rPr>
        <w:t xml:space="preserve">. Some authors </w:t>
      </w:r>
      <w:r w:rsidR="0016494E">
        <w:rPr>
          <w:rFonts w:cs="Times New Roman"/>
          <w:lang w:val="en-US"/>
        </w:rPr>
        <w:t>(Hazell and</w:t>
      </w:r>
      <w:r w:rsidR="00DA7E42" w:rsidRPr="00DA7E42">
        <w:rPr>
          <w:rFonts w:cs="Times New Roman"/>
          <w:lang w:val="en-US"/>
        </w:rPr>
        <w:t xml:space="preserve"> Slade 2014</w:t>
      </w:r>
      <w:r w:rsidR="00BC1ED1" w:rsidRPr="008173C7">
        <w:rPr>
          <w:rFonts w:cs="Times New Roman"/>
          <w:lang w:val="en-US"/>
        </w:rPr>
        <w:t xml:space="preserve">; </w:t>
      </w:r>
      <w:r w:rsidR="0016494E">
        <w:rPr>
          <w:rFonts w:cs="Times New Roman"/>
          <w:lang w:val="en-US"/>
        </w:rPr>
        <w:t>Renkow and</w:t>
      </w:r>
      <w:r w:rsidR="00DA7E42" w:rsidRPr="00DA7E42">
        <w:rPr>
          <w:rFonts w:cs="Times New Roman"/>
          <w:lang w:val="en-US"/>
        </w:rPr>
        <w:t xml:space="preserve"> Byerlee 2014)</w:t>
      </w:r>
      <w:r w:rsidR="00BC1ED1" w:rsidRPr="008173C7">
        <w:rPr>
          <w:rFonts w:cs="Times New Roman"/>
          <w:lang w:val="en-US"/>
        </w:rPr>
        <w:t xml:space="preserve"> distinguish between the contribution of research which results in a policy outcome (often a regulatory change), and the contribution </w:t>
      </w:r>
      <w:r w:rsidRPr="008173C7">
        <w:rPr>
          <w:rFonts w:cs="Times New Roman"/>
          <w:lang w:val="en-US"/>
        </w:rPr>
        <w:t xml:space="preserve">of research </w:t>
      </w:r>
      <w:r w:rsidR="00BC1ED1" w:rsidRPr="008173C7">
        <w:rPr>
          <w:rFonts w:cs="Times New Roman"/>
          <w:lang w:val="en-US"/>
        </w:rPr>
        <w:t xml:space="preserve">which results in the downstream impact of policy outcome (changes to societal indicators such as improved health or housing). </w:t>
      </w:r>
      <w:r w:rsidRPr="008173C7">
        <w:rPr>
          <w:rFonts w:cs="Times New Roman"/>
          <w:lang w:val="en-US"/>
        </w:rPr>
        <w:t xml:space="preserve">It is difficult </w:t>
      </w:r>
      <w:r w:rsidR="00BC1ED1" w:rsidRPr="008173C7">
        <w:rPr>
          <w:rFonts w:cs="Times New Roman"/>
          <w:lang w:val="en-US"/>
        </w:rPr>
        <w:t>to piece together the contribution</w:t>
      </w:r>
      <w:r w:rsidRPr="008173C7">
        <w:rPr>
          <w:rFonts w:cs="Times New Roman"/>
          <w:lang w:val="en-US"/>
        </w:rPr>
        <w:t>s</w:t>
      </w:r>
      <w:r w:rsidR="00BC1ED1" w:rsidRPr="008173C7">
        <w:rPr>
          <w:rFonts w:cs="Times New Roman"/>
          <w:lang w:val="en-US"/>
        </w:rPr>
        <w:t xml:space="preserve"> of research in relation to the downstream effect of policy since the effect of research knowledge is often too dilute</w:t>
      </w:r>
      <w:r w:rsidRPr="008173C7">
        <w:rPr>
          <w:rFonts w:cs="Times New Roman"/>
          <w:lang w:val="en-US"/>
        </w:rPr>
        <w:t>d</w:t>
      </w:r>
      <w:r w:rsidR="00BC1ED1" w:rsidRPr="008173C7">
        <w:rPr>
          <w:rFonts w:cs="Times New Roman"/>
          <w:lang w:val="en-US"/>
        </w:rPr>
        <w:t xml:space="preserve"> to ascertain its contribution </w:t>
      </w:r>
      <w:r w:rsidR="00DA7E42" w:rsidRPr="00DA7E42">
        <w:rPr>
          <w:rFonts w:cs="Times New Roman"/>
          <w:lang w:val="en-US"/>
        </w:rPr>
        <w:t xml:space="preserve">(Renkow </w:t>
      </w:r>
      <w:r w:rsidR="00B44642">
        <w:rPr>
          <w:rFonts w:cs="Times New Roman"/>
          <w:lang w:val="en-US"/>
        </w:rPr>
        <w:t>and</w:t>
      </w:r>
      <w:r w:rsidR="00DA7E42" w:rsidRPr="00DA7E42">
        <w:rPr>
          <w:rFonts w:cs="Times New Roman"/>
          <w:lang w:val="en-US"/>
        </w:rPr>
        <w:t xml:space="preserve"> Byerlee 2014</w:t>
      </w:r>
      <w:r w:rsidR="00BC1ED1" w:rsidRPr="008173C7">
        <w:rPr>
          <w:rFonts w:cs="Times New Roman"/>
          <w:lang w:val="en-US"/>
        </w:rPr>
        <w:t xml:space="preserve">; </w:t>
      </w:r>
      <w:r w:rsidR="00DA7E42" w:rsidRPr="00DA7E42">
        <w:rPr>
          <w:rFonts w:cs="Times New Roman"/>
          <w:lang w:val="en-US"/>
        </w:rPr>
        <w:t>Carden 2004)</w:t>
      </w:r>
      <w:r w:rsidR="00BC1ED1" w:rsidRPr="008173C7">
        <w:rPr>
          <w:rFonts w:cs="Times New Roman"/>
          <w:lang w:val="en-US"/>
        </w:rPr>
        <w:t xml:space="preserve">. Thus, some authors recommend a focus on the impact of research on policy rather than the impact (of the policy) on society </w:t>
      </w:r>
      <w:r w:rsidR="00DA7E42" w:rsidRPr="00DA7E42">
        <w:rPr>
          <w:rFonts w:cs="Times New Roman"/>
          <w:lang w:val="en-US"/>
        </w:rPr>
        <w:t>(Boaz et al. 2009; Carden 2004)</w:t>
      </w:r>
      <w:r w:rsidR="00BC1ED1" w:rsidRPr="008173C7">
        <w:rPr>
          <w:rFonts w:cs="Times New Roman"/>
          <w:lang w:val="en-US"/>
        </w:rPr>
        <w:t xml:space="preserve">. The lack of consensus among experts about what </w:t>
      </w:r>
      <w:r w:rsidRPr="008173C7">
        <w:rPr>
          <w:rFonts w:cs="Times New Roman"/>
          <w:lang w:val="en-US"/>
        </w:rPr>
        <w:t xml:space="preserve">constitutes </w:t>
      </w:r>
      <w:r w:rsidR="00BC1ED1" w:rsidRPr="008173C7">
        <w:rPr>
          <w:rFonts w:cs="Times New Roman"/>
          <w:lang w:val="en-US"/>
        </w:rPr>
        <w:t xml:space="preserve">an impact on policy and how it should be </w:t>
      </w:r>
      <w:r w:rsidR="00D50439" w:rsidRPr="008173C7">
        <w:rPr>
          <w:rFonts w:cs="Times New Roman"/>
          <w:lang w:val="en-US"/>
        </w:rPr>
        <w:t>assessed</w:t>
      </w:r>
      <w:r w:rsidR="00BC1ED1" w:rsidRPr="008173C7">
        <w:rPr>
          <w:rFonts w:cs="Times New Roman"/>
          <w:lang w:val="en-US"/>
        </w:rPr>
        <w:t xml:space="preserve">, is illustrated </w:t>
      </w:r>
      <w:r w:rsidRPr="008173C7">
        <w:rPr>
          <w:rFonts w:cs="Times New Roman"/>
          <w:lang w:val="en-US"/>
        </w:rPr>
        <w:t xml:space="preserve">by </w:t>
      </w:r>
      <w:r w:rsidR="00BC1ED1" w:rsidRPr="008173C7">
        <w:rPr>
          <w:rFonts w:cs="Times New Roman"/>
          <w:lang w:val="en-US"/>
        </w:rPr>
        <w:t xml:space="preserve">a study by </w:t>
      </w:r>
      <w:r w:rsidR="00B44642">
        <w:rPr>
          <w:rFonts w:cs="Times New Roman"/>
          <w:lang w:val="en-US"/>
        </w:rPr>
        <w:t>Samuel and</w:t>
      </w:r>
      <w:r w:rsidR="00DA7E42" w:rsidRPr="00DA7E42">
        <w:rPr>
          <w:rFonts w:cs="Times New Roman"/>
          <w:lang w:val="en-US"/>
        </w:rPr>
        <w:t xml:space="preserve"> Derrick </w:t>
      </w:r>
      <w:r w:rsidR="0016494E">
        <w:rPr>
          <w:rFonts w:cs="Times New Roman"/>
          <w:lang w:val="en-US"/>
        </w:rPr>
        <w:t>(</w:t>
      </w:r>
      <w:r w:rsidR="00DA7E42" w:rsidRPr="00DA7E42">
        <w:rPr>
          <w:rFonts w:cs="Times New Roman"/>
          <w:lang w:val="en-US"/>
        </w:rPr>
        <w:t>2015)</w:t>
      </w:r>
      <w:r w:rsidR="00BC1ED1" w:rsidRPr="008173C7">
        <w:rPr>
          <w:rFonts w:cs="Times New Roman"/>
          <w:bCs/>
          <w:lang w:val="en-US"/>
        </w:rPr>
        <w:t>.</w:t>
      </w:r>
      <w:r w:rsidR="00BC1ED1" w:rsidRPr="008173C7">
        <w:rPr>
          <w:rFonts w:cs="Times New Roman"/>
          <w:lang w:val="en-US"/>
        </w:rPr>
        <w:t xml:space="preserve"> Drawing on 62 interviews with evaluators from a health-related panel, </w:t>
      </w:r>
      <w:r w:rsidR="00B44642">
        <w:rPr>
          <w:rFonts w:cs="Times New Roman"/>
          <w:lang w:val="en-US"/>
        </w:rPr>
        <w:t>Samuel and</w:t>
      </w:r>
      <w:r w:rsidR="00DA7E42" w:rsidRPr="00DA7E42">
        <w:rPr>
          <w:rFonts w:cs="Times New Roman"/>
          <w:lang w:val="en-US"/>
        </w:rPr>
        <w:t xml:space="preserve"> Derrick </w:t>
      </w:r>
      <w:r w:rsidR="0016494E">
        <w:rPr>
          <w:rFonts w:cs="Times New Roman"/>
          <w:lang w:val="en-US"/>
        </w:rPr>
        <w:t>(</w:t>
      </w:r>
      <w:r w:rsidR="00DA7E42" w:rsidRPr="00DA7E42">
        <w:rPr>
          <w:rFonts w:cs="Times New Roman"/>
          <w:lang w:val="en-US"/>
        </w:rPr>
        <w:t>2015)</w:t>
      </w:r>
      <w:r w:rsidR="00BC1ED1" w:rsidRPr="008173C7">
        <w:rPr>
          <w:rFonts w:cs="Times New Roman"/>
          <w:lang w:val="en-US"/>
        </w:rPr>
        <w:t xml:space="preserve"> found that about a third</w:t>
      </w:r>
      <w:r w:rsidRPr="008173C7">
        <w:rPr>
          <w:rFonts w:cs="Times New Roman"/>
          <w:lang w:val="en-US"/>
        </w:rPr>
        <w:t xml:space="preserve"> of </w:t>
      </w:r>
      <w:r w:rsidR="006358D7" w:rsidRPr="008173C7">
        <w:rPr>
          <w:rFonts w:cs="Times New Roman"/>
          <w:lang w:val="en-US"/>
        </w:rPr>
        <w:t xml:space="preserve">the evaluators </w:t>
      </w:r>
      <w:r w:rsidR="00BC1ED1" w:rsidRPr="008173C7">
        <w:rPr>
          <w:rFonts w:cs="Times New Roman"/>
          <w:lang w:val="en-US"/>
        </w:rPr>
        <w:t xml:space="preserve">perceived impact as being achieved only in the presence of some final and positive change on society resulting from policy implementation. </w:t>
      </w:r>
      <w:r w:rsidRPr="008173C7">
        <w:rPr>
          <w:rFonts w:cs="Times New Roman"/>
          <w:lang w:val="en-US"/>
        </w:rPr>
        <w:t>For example, t</w:t>
      </w:r>
      <w:r w:rsidR="00BC1ED1" w:rsidRPr="008173C7">
        <w:rPr>
          <w:rFonts w:cs="Times New Roman"/>
          <w:lang w:val="en-US"/>
        </w:rPr>
        <w:t xml:space="preserve">hose evaluators </w:t>
      </w:r>
      <w:r w:rsidR="0055579A" w:rsidRPr="008173C7">
        <w:rPr>
          <w:rFonts w:cs="Times New Roman"/>
          <w:lang w:val="en-US"/>
        </w:rPr>
        <w:t>would discard</w:t>
      </w:r>
      <w:r w:rsidR="00BC1ED1" w:rsidRPr="008173C7">
        <w:rPr>
          <w:rFonts w:cs="Times New Roman"/>
          <w:lang w:val="en-US"/>
        </w:rPr>
        <w:t xml:space="preserve"> the inclusion of research results in policy documents as ephemeral measures </w:t>
      </w:r>
      <w:r w:rsidRPr="008173C7">
        <w:rPr>
          <w:rFonts w:cs="Times New Roman"/>
          <w:lang w:val="en-US"/>
        </w:rPr>
        <w:t xml:space="preserve">that </w:t>
      </w:r>
      <w:r w:rsidR="00BC1ED1" w:rsidRPr="008173C7">
        <w:rPr>
          <w:rFonts w:cs="Times New Roman"/>
          <w:lang w:val="en-US"/>
        </w:rPr>
        <w:t xml:space="preserve">provide no long lasting benefits for society. Although the majority of the </w:t>
      </w:r>
      <w:r w:rsidR="0055579A" w:rsidRPr="008173C7">
        <w:rPr>
          <w:rFonts w:cs="Times New Roman"/>
          <w:lang w:val="en-US"/>
        </w:rPr>
        <w:t xml:space="preserve">62 </w:t>
      </w:r>
      <w:r w:rsidR="00BC1ED1" w:rsidRPr="008173C7">
        <w:rPr>
          <w:rFonts w:cs="Times New Roman"/>
          <w:lang w:val="en-US"/>
        </w:rPr>
        <w:t>evaluators</w:t>
      </w:r>
      <w:r w:rsidRPr="008173C7">
        <w:rPr>
          <w:rFonts w:cs="Times New Roman"/>
          <w:lang w:val="en-US"/>
        </w:rPr>
        <w:t xml:space="preserve"> </w:t>
      </w:r>
      <w:r w:rsidR="00BC1ED1" w:rsidRPr="008173C7">
        <w:rPr>
          <w:rFonts w:cs="Times New Roman"/>
          <w:lang w:val="en-US"/>
        </w:rPr>
        <w:t xml:space="preserve">considered that “there are different stages of impact”, and were willing to consider a broader view of the contribution of research to policy, they were unsure about which stages could be considered as impact, and to what degree they could be scored against each other </w:t>
      </w:r>
      <w:r w:rsidR="00B44642">
        <w:rPr>
          <w:rFonts w:cs="Times New Roman"/>
          <w:lang w:val="en-US"/>
        </w:rPr>
        <w:t>(Bornmann 2013; Samuel and</w:t>
      </w:r>
      <w:r w:rsidR="00DA7E42" w:rsidRPr="00DA7E42">
        <w:rPr>
          <w:rFonts w:cs="Times New Roman"/>
          <w:lang w:val="en-US"/>
        </w:rPr>
        <w:t xml:space="preserve"> Derrick 2015)</w:t>
      </w:r>
      <w:r w:rsidR="00BC1ED1" w:rsidRPr="008173C7">
        <w:rPr>
          <w:rFonts w:cs="Times New Roman"/>
          <w:lang w:val="en-US"/>
        </w:rPr>
        <w:t>. This diversity of views among evaluators needs to be addressed to provide a robust framework for evaluation across different cases, and to guide the</w:t>
      </w:r>
      <w:r w:rsidRPr="008173C7">
        <w:rPr>
          <w:rFonts w:cs="Times New Roman"/>
          <w:lang w:val="en-US"/>
        </w:rPr>
        <w:t xml:space="preserve"> type</w:t>
      </w:r>
      <w:r w:rsidR="0055579A" w:rsidRPr="008173C7">
        <w:rPr>
          <w:rFonts w:cs="Times New Roman"/>
          <w:lang w:val="en-US"/>
        </w:rPr>
        <w:t xml:space="preserve"> of</w:t>
      </w:r>
      <w:r w:rsidR="00BC1ED1" w:rsidRPr="008173C7">
        <w:rPr>
          <w:rFonts w:cs="Times New Roman"/>
          <w:lang w:val="en-US"/>
        </w:rPr>
        <w:t xml:space="preserve"> impact data </w:t>
      </w:r>
      <w:r w:rsidRPr="008173C7">
        <w:rPr>
          <w:rFonts w:cs="Times New Roman"/>
          <w:lang w:val="en-US"/>
        </w:rPr>
        <w:t xml:space="preserve">which should </w:t>
      </w:r>
      <w:r w:rsidR="00BC1ED1" w:rsidRPr="008173C7">
        <w:rPr>
          <w:rFonts w:cs="Times New Roman"/>
          <w:lang w:val="en-US"/>
        </w:rPr>
        <w:t xml:space="preserve">be collected. </w:t>
      </w:r>
      <w:r w:rsidR="00F13428" w:rsidRPr="008173C7">
        <w:rPr>
          <w:rFonts w:cs="Times New Roman"/>
          <w:lang w:val="en-US"/>
        </w:rPr>
        <w:t xml:space="preserve">Following </w:t>
      </w:r>
      <w:r w:rsidR="00DA7E42" w:rsidRPr="00DA7E42">
        <w:rPr>
          <w:rFonts w:cs="Times New Roman"/>
          <w:lang w:val="en-US"/>
        </w:rPr>
        <w:t xml:space="preserve">Carden </w:t>
      </w:r>
      <w:r w:rsidR="0016494E">
        <w:rPr>
          <w:rFonts w:cs="Times New Roman"/>
          <w:lang w:val="en-US"/>
        </w:rPr>
        <w:t>(</w:t>
      </w:r>
      <w:r w:rsidR="00DA7E42" w:rsidRPr="00DA7E42">
        <w:rPr>
          <w:rFonts w:cs="Times New Roman"/>
          <w:lang w:val="en-US"/>
        </w:rPr>
        <w:t>2004)</w:t>
      </w:r>
      <w:r w:rsidR="00BC1ED1" w:rsidRPr="008173C7">
        <w:rPr>
          <w:rFonts w:cs="Times New Roman"/>
          <w:lang w:val="en-US"/>
        </w:rPr>
        <w:t xml:space="preserve"> view of the a</w:t>
      </w:r>
      <w:r w:rsidR="00F13428" w:rsidRPr="008173C7">
        <w:rPr>
          <w:rFonts w:cs="Times New Roman"/>
          <w:lang w:val="en-US"/>
        </w:rPr>
        <w:t xml:space="preserve">ssessment of political impact, </w:t>
      </w:r>
      <w:r w:rsidR="00FE799D" w:rsidRPr="008173C7">
        <w:rPr>
          <w:rFonts w:cs="Times New Roman"/>
          <w:lang w:val="en-US"/>
        </w:rPr>
        <w:t>we consider that INRA's impact on policy does not include the impact of the policy on society</w:t>
      </w:r>
      <w:r w:rsidR="006508EA" w:rsidRPr="008173C7">
        <w:rPr>
          <w:rFonts w:cs="Times New Roman"/>
          <w:lang w:val="en-US"/>
        </w:rPr>
        <w:t xml:space="preserve">. This view is in line with the payback framework </w:t>
      </w:r>
      <w:r w:rsidR="00DA7E42" w:rsidRPr="00DA7E42">
        <w:rPr>
          <w:rFonts w:cs="Times New Roman"/>
          <w:lang w:val="en-US"/>
        </w:rPr>
        <w:t>(Hanney et al. 2003; Wooding et al. 2014)</w:t>
      </w:r>
      <w:r w:rsidR="007969FD" w:rsidRPr="008173C7">
        <w:rPr>
          <w:rFonts w:cs="Times New Roman"/>
          <w:lang w:val="en-US"/>
        </w:rPr>
        <w:t>,</w:t>
      </w:r>
      <w:r w:rsidR="006508EA" w:rsidRPr="008173C7">
        <w:rPr>
          <w:rFonts w:cs="Times New Roman"/>
          <w:lang w:val="en-US"/>
        </w:rPr>
        <w:t xml:space="preserve"> and with Samuel and Derrick (2015) who consider that political impact is an intermediary stage before environmental, health, economic, social, or territorial, or “real-world impacts” </w:t>
      </w:r>
      <w:r w:rsidR="00DA7E42" w:rsidRPr="0016494E">
        <w:rPr>
          <w:rFonts w:cs="Times New Roman"/>
          <w:lang w:val="en-US"/>
        </w:rPr>
        <w:t>(Cohen et al. 2015)</w:t>
      </w:r>
      <w:r w:rsidR="006508EA" w:rsidRPr="008173C7">
        <w:rPr>
          <w:rFonts w:cs="Times New Roman"/>
          <w:lang w:val="en-US"/>
        </w:rPr>
        <w:t xml:space="preserve"> are generated. In that respect</w:t>
      </w:r>
      <w:r w:rsidR="007969FD" w:rsidRPr="008173C7">
        <w:rPr>
          <w:rFonts w:cs="Times New Roman"/>
          <w:lang w:val="en-US"/>
        </w:rPr>
        <w:t>,</w:t>
      </w:r>
      <w:r w:rsidR="006508EA" w:rsidRPr="008173C7">
        <w:rPr>
          <w:rFonts w:cs="Times New Roman"/>
          <w:lang w:val="en-US"/>
        </w:rPr>
        <w:t xml:space="preserve"> policies and public opinion </w:t>
      </w:r>
      <w:r w:rsidRPr="008173C7">
        <w:rPr>
          <w:rFonts w:cs="Times New Roman"/>
          <w:lang w:val="en-US"/>
        </w:rPr>
        <w:t xml:space="preserve">can be </w:t>
      </w:r>
      <w:r w:rsidR="006508EA" w:rsidRPr="008173C7">
        <w:rPr>
          <w:rFonts w:cs="Times New Roman"/>
          <w:lang w:val="en-US"/>
        </w:rPr>
        <w:t xml:space="preserve">considered barriers </w:t>
      </w:r>
      <w:r w:rsidRPr="008173C7">
        <w:rPr>
          <w:rFonts w:cs="Times New Roman"/>
          <w:lang w:val="en-US"/>
        </w:rPr>
        <w:t xml:space="preserve">which </w:t>
      </w:r>
      <w:r w:rsidR="006508EA" w:rsidRPr="008173C7">
        <w:rPr>
          <w:rFonts w:cs="Times New Roman"/>
          <w:lang w:val="en-US"/>
        </w:rPr>
        <w:t xml:space="preserve">must be overcome, or catalysts of the adoption of innovation and related massive societal changes. </w:t>
      </w:r>
      <w:r w:rsidR="007969FD" w:rsidRPr="008173C7">
        <w:rPr>
          <w:rFonts w:cs="Times New Roman"/>
          <w:lang w:val="en-US"/>
        </w:rPr>
        <w:t>This strategy</w:t>
      </w:r>
      <w:r w:rsidR="00BD4DC5" w:rsidRPr="008173C7">
        <w:rPr>
          <w:rFonts w:cs="Times New Roman"/>
          <w:lang w:val="en-US"/>
        </w:rPr>
        <w:t xml:space="preserve"> </w:t>
      </w:r>
      <w:r w:rsidR="007969FD" w:rsidRPr="008173C7">
        <w:rPr>
          <w:rFonts w:cs="Times New Roman"/>
          <w:lang w:val="en-US"/>
        </w:rPr>
        <w:t xml:space="preserve">prevents double-counting </w:t>
      </w:r>
      <w:r w:rsidRPr="008173C7">
        <w:rPr>
          <w:rFonts w:cs="Times New Roman"/>
          <w:lang w:val="en-US"/>
        </w:rPr>
        <w:t xml:space="preserve">of </w:t>
      </w:r>
      <w:r w:rsidR="007969FD" w:rsidRPr="008173C7">
        <w:rPr>
          <w:rFonts w:cs="Times New Roman"/>
          <w:lang w:val="en-US"/>
        </w:rPr>
        <w:t>the effects of policy implementation</w:t>
      </w:r>
      <w:r w:rsidRPr="008173C7">
        <w:rPr>
          <w:rFonts w:cs="Times New Roman"/>
          <w:lang w:val="en-US"/>
        </w:rPr>
        <w:t xml:space="preserve"> </w:t>
      </w:r>
      <w:r w:rsidR="007969FD" w:rsidRPr="008173C7">
        <w:rPr>
          <w:rFonts w:cs="Times New Roman"/>
          <w:lang w:val="en-US"/>
        </w:rPr>
        <w:t xml:space="preserve">reported in another branch of </w:t>
      </w:r>
      <w:r w:rsidRPr="008173C7">
        <w:rPr>
          <w:rFonts w:cs="Times New Roman"/>
          <w:lang w:val="en-US"/>
        </w:rPr>
        <w:t xml:space="preserve">the </w:t>
      </w:r>
      <w:r w:rsidR="007969FD" w:rsidRPr="008173C7">
        <w:rPr>
          <w:rFonts w:cs="Times New Roman"/>
          <w:lang w:val="en-US"/>
        </w:rPr>
        <w:t xml:space="preserve">ASIRPA impact radar (see </w:t>
      </w:r>
      <w:r w:rsidR="00DA7E42" w:rsidRPr="00DA7E42">
        <w:rPr>
          <w:rFonts w:cs="Times New Roman"/>
          <w:lang w:val="en-US"/>
        </w:rPr>
        <w:t>Joly et al. 2015)</w:t>
      </w:r>
      <w:r w:rsidR="007969FD" w:rsidRPr="008173C7">
        <w:rPr>
          <w:rFonts w:cs="Times New Roman"/>
          <w:lang w:val="en-US"/>
        </w:rPr>
        <w:t>.</w:t>
      </w:r>
    </w:p>
    <w:p w14:paraId="136B71C8" w14:textId="189C6D09" w:rsidR="00E17CCE" w:rsidRPr="008173C7" w:rsidRDefault="00E17CCE" w:rsidP="000401BB">
      <w:pPr>
        <w:spacing w:line="480" w:lineRule="auto"/>
        <w:rPr>
          <w:rFonts w:cs="Times New Roman"/>
          <w:bCs/>
          <w:lang w:val="en-US"/>
        </w:rPr>
      </w:pPr>
    </w:p>
    <w:p w14:paraId="1BF8C486" w14:textId="438EAEC1" w:rsidR="006134F3" w:rsidRPr="008173C7" w:rsidRDefault="009B71BC" w:rsidP="000401BB">
      <w:pPr>
        <w:pStyle w:val="Titre3"/>
        <w:spacing w:after="200" w:line="480" w:lineRule="auto"/>
        <w:rPr>
          <w:rFonts w:ascii="Times New Roman" w:hAnsi="Times New Roman" w:cs="Times New Roman"/>
          <w:color w:val="auto"/>
          <w:lang w:val="en-US"/>
        </w:rPr>
      </w:pPr>
      <w:r w:rsidRPr="008173C7">
        <w:rPr>
          <w:rFonts w:ascii="Times New Roman" w:hAnsi="Times New Roman" w:cs="Times New Roman"/>
          <w:color w:val="auto"/>
          <w:lang w:val="en-US"/>
        </w:rPr>
        <w:t>1.</w:t>
      </w:r>
      <w:r w:rsidR="00407187" w:rsidRPr="008173C7">
        <w:rPr>
          <w:rFonts w:ascii="Times New Roman" w:hAnsi="Times New Roman" w:cs="Times New Roman"/>
          <w:color w:val="auto"/>
          <w:lang w:val="en-US"/>
        </w:rPr>
        <w:t>2</w:t>
      </w:r>
      <w:r w:rsidR="009E2A0A" w:rsidRPr="008173C7">
        <w:rPr>
          <w:rFonts w:ascii="Times New Roman" w:hAnsi="Times New Roman" w:cs="Times New Roman"/>
          <w:color w:val="auto"/>
          <w:lang w:val="en-US"/>
        </w:rPr>
        <w:t xml:space="preserve"> </w:t>
      </w:r>
      <w:r w:rsidR="000C42D3" w:rsidRPr="008173C7">
        <w:rPr>
          <w:rFonts w:ascii="Times New Roman" w:hAnsi="Times New Roman" w:cs="Times New Roman"/>
          <w:color w:val="auto"/>
          <w:lang w:val="en-US"/>
        </w:rPr>
        <w:t>Taking stock of the c</w:t>
      </w:r>
      <w:r w:rsidR="007D00AB" w:rsidRPr="008173C7">
        <w:rPr>
          <w:rFonts w:ascii="Times New Roman" w:hAnsi="Times New Roman" w:cs="Times New Roman"/>
          <w:color w:val="auto"/>
          <w:lang w:val="en-US"/>
        </w:rPr>
        <w:t>onceptual frameworks to u</w:t>
      </w:r>
      <w:r w:rsidR="00EB685B" w:rsidRPr="008173C7">
        <w:rPr>
          <w:rFonts w:ascii="Times New Roman" w:hAnsi="Times New Roman" w:cs="Times New Roman"/>
          <w:color w:val="auto"/>
          <w:lang w:val="en-US"/>
        </w:rPr>
        <w:t xml:space="preserve">nderstand </w:t>
      </w:r>
      <w:r w:rsidR="00624474" w:rsidRPr="008173C7">
        <w:rPr>
          <w:rFonts w:ascii="Times New Roman" w:hAnsi="Times New Roman" w:cs="Times New Roman"/>
          <w:color w:val="auto"/>
          <w:lang w:val="en-US"/>
        </w:rPr>
        <w:t>the process of policy</w:t>
      </w:r>
      <w:r w:rsidR="00712CAD" w:rsidRPr="008173C7">
        <w:rPr>
          <w:rFonts w:ascii="Times New Roman" w:hAnsi="Times New Roman" w:cs="Times New Roman"/>
          <w:color w:val="auto"/>
          <w:lang w:val="en-US"/>
        </w:rPr>
        <w:t>-</w:t>
      </w:r>
      <w:r w:rsidR="00624474" w:rsidRPr="008173C7">
        <w:rPr>
          <w:rFonts w:ascii="Times New Roman" w:hAnsi="Times New Roman" w:cs="Times New Roman"/>
          <w:color w:val="auto"/>
          <w:lang w:val="en-US"/>
        </w:rPr>
        <w:t>making</w:t>
      </w:r>
      <w:r w:rsidR="00D43947" w:rsidRPr="008173C7">
        <w:rPr>
          <w:rFonts w:ascii="Times New Roman" w:hAnsi="Times New Roman" w:cs="Times New Roman"/>
          <w:color w:val="auto"/>
          <w:lang w:val="en-US"/>
        </w:rPr>
        <w:t xml:space="preserve"> </w:t>
      </w:r>
    </w:p>
    <w:p w14:paraId="31980B5E" w14:textId="6B527E7F" w:rsidR="007C228B" w:rsidRPr="008173C7" w:rsidRDefault="00FE72C3" w:rsidP="000401BB">
      <w:pPr>
        <w:spacing w:line="480" w:lineRule="auto"/>
        <w:rPr>
          <w:rFonts w:cs="Times New Roman"/>
          <w:lang w:val="en-US"/>
        </w:rPr>
      </w:pPr>
      <w:r w:rsidRPr="008173C7">
        <w:rPr>
          <w:rFonts w:cs="Times New Roman"/>
          <w:lang w:val="en-US"/>
        </w:rPr>
        <w:t xml:space="preserve">To understand </w:t>
      </w:r>
      <w:r w:rsidR="00EB685B" w:rsidRPr="008173C7">
        <w:rPr>
          <w:rFonts w:cs="Times New Roman"/>
          <w:lang w:val="en-US"/>
        </w:rPr>
        <w:t xml:space="preserve">the </w:t>
      </w:r>
      <w:r w:rsidR="00142FEF" w:rsidRPr="008173C7">
        <w:rPr>
          <w:rFonts w:cs="Times New Roman"/>
          <w:lang w:val="en-US"/>
        </w:rPr>
        <w:t xml:space="preserve">nature of </w:t>
      </w:r>
      <w:r w:rsidR="00D65B49" w:rsidRPr="008173C7">
        <w:rPr>
          <w:rFonts w:cs="Times New Roman"/>
          <w:lang w:val="en-US"/>
        </w:rPr>
        <w:t xml:space="preserve">the </w:t>
      </w:r>
      <w:r w:rsidR="00A3752A" w:rsidRPr="008173C7">
        <w:rPr>
          <w:rFonts w:cs="Times New Roman"/>
          <w:lang w:val="en-US"/>
        </w:rPr>
        <w:t xml:space="preserve">impact </w:t>
      </w:r>
      <w:r w:rsidR="00EB685B" w:rsidRPr="008173C7">
        <w:rPr>
          <w:rFonts w:cs="Times New Roman"/>
          <w:lang w:val="en-US"/>
        </w:rPr>
        <w:t xml:space="preserve">of research </w:t>
      </w:r>
      <w:r w:rsidR="00A3752A" w:rsidRPr="008173C7">
        <w:rPr>
          <w:rFonts w:cs="Times New Roman"/>
          <w:lang w:val="en-US"/>
        </w:rPr>
        <w:t>on policy</w:t>
      </w:r>
      <w:r w:rsidR="00051D90" w:rsidRPr="008173C7">
        <w:rPr>
          <w:rFonts w:cs="Times New Roman"/>
          <w:lang w:val="en-US"/>
        </w:rPr>
        <w:t>,</w:t>
      </w:r>
      <w:r w:rsidR="00A3752A" w:rsidRPr="008173C7">
        <w:rPr>
          <w:rFonts w:cs="Times New Roman"/>
          <w:lang w:val="en-US"/>
        </w:rPr>
        <w:t xml:space="preserve"> </w:t>
      </w:r>
      <w:r w:rsidR="00220560" w:rsidRPr="008173C7">
        <w:rPr>
          <w:rFonts w:cs="Times New Roman"/>
          <w:lang w:val="en-US"/>
        </w:rPr>
        <w:t xml:space="preserve">it is important to identify </w:t>
      </w:r>
      <w:r w:rsidR="00EB685B" w:rsidRPr="008173C7">
        <w:rPr>
          <w:rFonts w:cs="Times New Roman"/>
          <w:lang w:val="en-US"/>
        </w:rPr>
        <w:t xml:space="preserve">the actors </w:t>
      </w:r>
      <w:r w:rsidRPr="008173C7">
        <w:rPr>
          <w:rFonts w:cs="Times New Roman"/>
          <w:lang w:val="en-US"/>
        </w:rPr>
        <w:t>involved</w:t>
      </w:r>
      <w:r w:rsidR="00A30910" w:rsidRPr="008173C7">
        <w:rPr>
          <w:rFonts w:cs="Times New Roman"/>
          <w:lang w:val="en-US"/>
        </w:rPr>
        <w:t>,</w:t>
      </w:r>
      <w:r w:rsidR="00EB685B" w:rsidRPr="008173C7">
        <w:rPr>
          <w:rFonts w:cs="Times New Roman"/>
          <w:lang w:val="en-US"/>
        </w:rPr>
        <w:t xml:space="preserve"> </w:t>
      </w:r>
      <w:r w:rsidRPr="008173C7">
        <w:rPr>
          <w:rFonts w:cs="Times New Roman"/>
          <w:lang w:val="en-US"/>
        </w:rPr>
        <w:t xml:space="preserve">the </w:t>
      </w:r>
      <w:r w:rsidR="00342B90" w:rsidRPr="008173C7">
        <w:rPr>
          <w:rFonts w:cs="Times New Roman"/>
          <w:lang w:val="en-US"/>
        </w:rPr>
        <w:t>research result</w:t>
      </w:r>
      <w:r w:rsidR="00FE7D5D" w:rsidRPr="008173C7">
        <w:rPr>
          <w:rFonts w:cs="Times New Roman"/>
          <w:lang w:val="en-US"/>
        </w:rPr>
        <w:t>s</w:t>
      </w:r>
      <w:r w:rsidR="00342B90" w:rsidRPr="008173C7">
        <w:rPr>
          <w:rFonts w:cs="Times New Roman"/>
          <w:lang w:val="en-US"/>
        </w:rPr>
        <w:t xml:space="preserve"> </w:t>
      </w:r>
      <w:r w:rsidR="00EB685B" w:rsidRPr="008173C7">
        <w:rPr>
          <w:rFonts w:cs="Times New Roman"/>
          <w:lang w:val="en-US"/>
        </w:rPr>
        <w:t>use</w:t>
      </w:r>
      <w:r w:rsidRPr="008173C7">
        <w:rPr>
          <w:rFonts w:cs="Times New Roman"/>
          <w:lang w:val="en-US"/>
        </w:rPr>
        <w:t>d</w:t>
      </w:r>
      <w:r w:rsidR="00EB685B" w:rsidRPr="008173C7">
        <w:rPr>
          <w:rFonts w:cs="Times New Roman"/>
          <w:lang w:val="en-US"/>
        </w:rPr>
        <w:t xml:space="preserve"> </w:t>
      </w:r>
      <w:r w:rsidR="00712CAD" w:rsidRPr="008173C7">
        <w:rPr>
          <w:rFonts w:cs="Times New Roman"/>
          <w:lang w:val="en-US"/>
        </w:rPr>
        <w:t>for policy-</w:t>
      </w:r>
      <w:r w:rsidR="007C2475" w:rsidRPr="008173C7">
        <w:rPr>
          <w:rFonts w:cs="Times New Roman"/>
          <w:lang w:val="en-US"/>
        </w:rPr>
        <w:t>making</w:t>
      </w:r>
      <w:r w:rsidR="00A30910" w:rsidRPr="008173C7">
        <w:rPr>
          <w:rFonts w:cs="Times New Roman"/>
          <w:lang w:val="en-US"/>
        </w:rPr>
        <w:t xml:space="preserve"> and how </w:t>
      </w:r>
      <w:r w:rsidRPr="008173C7">
        <w:rPr>
          <w:rFonts w:cs="Times New Roman"/>
          <w:lang w:val="en-US"/>
        </w:rPr>
        <w:t>they are used</w:t>
      </w:r>
      <w:r w:rsidR="00EB685B" w:rsidRPr="008173C7">
        <w:rPr>
          <w:rFonts w:cs="Times New Roman"/>
          <w:lang w:val="en-US"/>
        </w:rPr>
        <w:t xml:space="preserve">, </w:t>
      </w:r>
      <w:r w:rsidR="00A30910" w:rsidRPr="008173C7">
        <w:rPr>
          <w:rFonts w:cs="Times New Roman"/>
          <w:lang w:val="en-US"/>
        </w:rPr>
        <w:t xml:space="preserve">and </w:t>
      </w:r>
      <w:r w:rsidR="00EB685B" w:rsidRPr="008173C7">
        <w:rPr>
          <w:rFonts w:cs="Times New Roman"/>
          <w:lang w:val="en-US"/>
        </w:rPr>
        <w:t xml:space="preserve">the process </w:t>
      </w:r>
      <w:r w:rsidRPr="008173C7">
        <w:rPr>
          <w:rFonts w:cs="Times New Roman"/>
          <w:lang w:val="en-US"/>
        </w:rPr>
        <w:t xml:space="preserve">involved in </w:t>
      </w:r>
      <w:r w:rsidR="00EB685B" w:rsidRPr="008173C7">
        <w:rPr>
          <w:rFonts w:cs="Times New Roman"/>
          <w:lang w:val="en-US"/>
        </w:rPr>
        <w:t>political impact</w:t>
      </w:r>
      <w:r w:rsidRPr="008173C7">
        <w:rPr>
          <w:rFonts w:cs="Times New Roman"/>
          <w:lang w:val="en-US"/>
        </w:rPr>
        <w:t xml:space="preserve"> - the transformations that occur and their timing</w:t>
      </w:r>
      <w:r w:rsidR="00EB0EB7" w:rsidRPr="008173C7">
        <w:rPr>
          <w:rFonts w:cs="Times New Roman"/>
          <w:lang w:val="en-US"/>
        </w:rPr>
        <w:t xml:space="preserve"> </w:t>
      </w:r>
      <w:r w:rsidR="00DA7E42" w:rsidRPr="00DA7E42">
        <w:rPr>
          <w:rFonts w:cs="Times New Roman"/>
          <w:lang w:val="en-US"/>
        </w:rPr>
        <w:t>(Davies</w:t>
      </w:r>
      <w:r w:rsidR="00884C75">
        <w:rPr>
          <w:rFonts w:cs="Times New Roman"/>
          <w:lang w:val="en-US"/>
        </w:rPr>
        <w:t xml:space="preserve"> and </w:t>
      </w:r>
      <w:r w:rsidR="00DA7E42" w:rsidRPr="00DA7E42">
        <w:rPr>
          <w:rFonts w:cs="Times New Roman"/>
          <w:lang w:val="en-US"/>
        </w:rPr>
        <w:t>Nutley 2008)</w:t>
      </w:r>
      <w:r w:rsidR="00A3752A" w:rsidRPr="008173C7">
        <w:rPr>
          <w:rFonts w:cs="Times New Roman"/>
          <w:lang w:val="en-US"/>
        </w:rPr>
        <w:t xml:space="preserve">. </w:t>
      </w:r>
      <w:r w:rsidR="00EB0EB7" w:rsidRPr="008173C7">
        <w:rPr>
          <w:rFonts w:cs="Times New Roman"/>
          <w:lang w:val="en-US"/>
        </w:rPr>
        <w:t>There are different typologies that describe the historical development of models of the interaction of knowledge and policy. In general, the</w:t>
      </w:r>
      <w:r w:rsidR="00A30910" w:rsidRPr="008173C7">
        <w:rPr>
          <w:rFonts w:cs="Times New Roman"/>
          <w:lang w:val="en-US"/>
        </w:rPr>
        <w:t>y</w:t>
      </w:r>
      <w:r w:rsidR="00EB0EB7" w:rsidRPr="008173C7">
        <w:rPr>
          <w:rFonts w:cs="Times New Roman"/>
          <w:lang w:val="en-US"/>
        </w:rPr>
        <w:t xml:space="preserve"> begin with one</w:t>
      </w:r>
      <w:r w:rsidR="00A30910" w:rsidRPr="008173C7">
        <w:rPr>
          <w:rFonts w:cs="Times New Roman"/>
          <w:lang w:val="en-US"/>
        </w:rPr>
        <w:t>-</w:t>
      </w:r>
      <w:r w:rsidR="00EB0EB7" w:rsidRPr="008173C7">
        <w:rPr>
          <w:rFonts w:cs="Times New Roman"/>
          <w:lang w:val="en-US"/>
        </w:rPr>
        <w:t>way, linear concepts and move to more interactive networked and systems views (Cozzens 2010)</w:t>
      </w:r>
      <w:r w:rsidR="00C17FBE" w:rsidRPr="008173C7">
        <w:rPr>
          <w:rFonts w:cs="Times New Roman"/>
          <w:lang w:val="en-US"/>
        </w:rPr>
        <w:t>.</w:t>
      </w:r>
    </w:p>
    <w:p w14:paraId="30F8E1F4" w14:textId="2E65A6E5" w:rsidR="007640A4" w:rsidRPr="008173C7" w:rsidRDefault="00030C2B" w:rsidP="000401BB">
      <w:pPr>
        <w:spacing w:line="480" w:lineRule="auto"/>
        <w:rPr>
          <w:rFonts w:cs="Times New Roman"/>
          <w:lang w:val="en-US"/>
        </w:rPr>
      </w:pPr>
      <w:r w:rsidRPr="008173C7">
        <w:rPr>
          <w:rFonts w:cs="Times New Roman"/>
          <w:lang w:val="en-US"/>
        </w:rPr>
        <w:t xml:space="preserve">The </w:t>
      </w:r>
      <w:r w:rsidR="00A63E42" w:rsidRPr="008173C7">
        <w:rPr>
          <w:rFonts w:cs="Times New Roman"/>
          <w:lang w:val="en-US"/>
        </w:rPr>
        <w:t xml:space="preserve">first conceptual framework </w:t>
      </w:r>
      <w:r w:rsidR="00FE72C3" w:rsidRPr="008173C7">
        <w:rPr>
          <w:rFonts w:cs="Times New Roman"/>
          <w:lang w:val="en-US"/>
        </w:rPr>
        <w:t xml:space="preserve">proposed </w:t>
      </w:r>
      <w:r w:rsidR="00A63E42" w:rsidRPr="008173C7">
        <w:rPr>
          <w:rFonts w:cs="Times New Roman"/>
          <w:lang w:val="en-US"/>
        </w:rPr>
        <w:t>to understand</w:t>
      </w:r>
      <w:r w:rsidRPr="008173C7">
        <w:rPr>
          <w:rFonts w:cs="Times New Roman"/>
          <w:lang w:val="en-US"/>
        </w:rPr>
        <w:t xml:space="preserve"> the</w:t>
      </w:r>
      <w:r w:rsidR="003A18A2" w:rsidRPr="008173C7">
        <w:rPr>
          <w:rFonts w:cs="Times New Roman"/>
          <w:lang w:val="en-US"/>
        </w:rPr>
        <w:t xml:space="preserve"> qualitative contribution</w:t>
      </w:r>
      <w:r w:rsidRPr="008173C7">
        <w:rPr>
          <w:rFonts w:cs="Times New Roman"/>
          <w:lang w:val="en-US"/>
        </w:rPr>
        <w:t xml:space="preserve"> of research </w:t>
      </w:r>
      <w:r w:rsidR="003A18A2" w:rsidRPr="008173C7">
        <w:rPr>
          <w:rFonts w:cs="Times New Roman"/>
          <w:lang w:val="en-US"/>
        </w:rPr>
        <w:t>t</w:t>
      </w:r>
      <w:r w:rsidRPr="008173C7">
        <w:rPr>
          <w:rFonts w:cs="Times New Roman"/>
          <w:lang w:val="en-US"/>
        </w:rPr>
        <w:t xml:space="preserve">o policy </w:t>
      </w:r>
      <w:r w:rsidR="006751ED" w:rsidRPr="008173C7">
        <w:rPr>
          <w:rFonts w:cs="Times New Roman"/>
          <w:lang w:val="en-US"/>
        </w:rPr>
        <w:t xml:space="preserve">as </w:t>
      </w:r>
      <w:r w:rsidR="00A63E42" w:rsidRPr="008173C7">
        <w:rPr>
          <w:rFonts w:cs="Times New Roman"/>
          <w:lang w:val="en-US"/>
        </w:rPr>
        <w:t>an ideal</w:t>
      </w:r>
      <w:r w:rsidR="00FE72C3" w:rsidRPr="008173C7">
        <w:rPr>
          <w:rFonts w:cs="Times New Roman"/>
          <w:lang w:val="en-US"/>
        </w:rPr>
        <w:t>,</w:t>
      </w:r>
      <w:r w:rsidR="00A63E42" w:rsidRPr="008173C7">
        <w:rPr>
          <w:rFonts w:cs="Times New Roman"/>
          <w:lang w:val="en-US"/>
        </w:rPr>
        <w:t xml:space="preserve"> </w:t>
      </w:r>
      <w:r w:rsidR="00ED40CB" w:rsidRPr="008173C7">
        <w:rPr>
          <w:rFonts w:cs="Times New Roman"/>
          <w:lang w:val="en-US"/>
        </w:rPr>
        <w:t>linear</w:t>
      </w:r>
      <w:r w:rsidR="00FE72C3" w:rsidRPr="008173C7">
        <w:rPr>
          <w:rFonts w:cs="Times New Roman"/>
          <w:lang w:val="en-US"/>
        </w:rPr>
        <w:t>,</w:t>
      </w:r>
      <w:r w:rsidR="00ED40CB" w:rsidRPr="008173C7">
        <w:rPr>
          <w:rFonts w:cs="Times New Roman"/>
          <w:lang w:val="en-US"/>
        </w:rPr>
        <w:t xml:space="preserve"> </w:t>
      </w:r>
      <w:r w:rsidR="00A63E42" w:rsidRPr="008173C7">
        <w:rPr>
          <w:rFonts w:cs="Times New Roman"/>
          <w:lang w:val="en-US"/>
        </w:rPr>
        <w:t xml:space="preserve">policy cycle </w:t>
      </w:r>
      <w:r w:rsidR="00FE72C3" w:rsidRPr="008173C7">
        <w:rPr>
          <w:rFonts w:cs="Times New Roman"/>
          <w:lang w:val="en-US"/>
        </w:rPr>
        <w:t xml:space="preserve">model </w:t>
      </w:r>
      <w:r w:rsidR="00233B86" w:rsidRPr="008173C7">
        <w:rPr>
          <w:rFonts w:cs="Times New Roman"/>
          <w:lang w:val="en-US"/>
        </w:rPr>
        <w:t xml:space="preserve">based on </w:t>
      </w:r>
      <w:r w:rsidR="00A63E42" w:rsidRPr="008173C7">
        <w:rPr>
          <w:rFonts w:cs="Times New Roman"/>
          <w:lang w:val="en-US"/>
        </w:rPr>
        <w:t xml:space="preserve">four </w:t>
      </w:r>
      <w:r w:rsidR="00233B86" w:rsidRPr="008173C7">
        <w:rPr>
          <w:rFonts w:cs="Times New Roman"/>
          <w:lang w:val="en-US"/>
        </w:rPr>
        <w:t xml:space="preserve">sequential stages </w:t>
      </w:r>
      <w:r w:rsidR="00884C75">
        <w:rPr>
          <w:rFonts w:cs="Times New Roman"/>
          <w:lang w:val="en-US"/>
        </w:rPr>
        <w:t>(Howlett and</w:t>
      </w:r>
      <w:r w:rsidR="00DA7E42" w:rsidRPr="00DA7E42">
        <w:rPr>
          <w:rFonts w:cs="Times New Roman"/>
          <w:lang w:val="en-US"/>
        </w:rPr>
        <w:t xml:space="preserve"> Ramesh 1995</w:t>
      </w:r>
      <w:r w:rsidR="00DA7E42">
        <w:rPr>
          <w:rFonts w:cs="Times New Roman"/>
          <w:lang w:val="en-US"/>
        </w:rPr>
        <w:t>;</w:t>
      </w:r>
      <w:r w:rsidR="00DA7E42" w:rsidRPr="00DA7E42">
        <w:rPr>
          <w:rFonts w:cs="Times New Roman"/>
          <w:lang w:val="en-US"/>
        </w:rPr>
        <w:t xml:space="preserve"> Lasswell 1977; Lasswell </w:t>
      </w:r>
      <w:r w:rsidR="00884C75">
        <w:rPr>
          <w:rFonts w:cs="Times New Roman"/>
          <w:lang w:val="en-US"/>
        </w:rPr>
        <w:t>and</w:t>
      </w:r>
      <w:r w:rsidR="00DA7E42" w:rsidRPr="00DA7E42">
        <w:rPr>
          <w:rFonts w:cs="Times New Roman"/>
          <w:lang w:val="en-US"/>
        </w:rPr>
        <w:t xml:space="preserve"> Lerner 1951)</w:t>
      </w:r>
      <w:r w:rsidR="003A18A2" w:rsidRPr="008173C7">
        <w:rPr>
          <w:rFonts w:cs="Times New Roman"/>
          <w:lang w:val="en-US"/>
        </w:rPr>
        <w:t>: p</w:t>
      </w:r>
      <w:r w:rsidR="00A63E42" w:rsidRPr="008173C7">
        <w:rPr>
          <w:rFonts w:cs="Times New Roman"/>
          <w:lang w:val="en-US"/>
        </w:rPr>
        <w:t>roblem identification and agenda setting</w:t>
      </w:r>
      <w:r w:rsidR="00A30910" w:rsidRPr="008173C7">
        <w:rPr>
          <w:rFonts w:cs="Times New Roman"/>
          <w:lang w:val="en-US"/>
        </w:rPr>
        <w:t>,</w:t>
      </w:r>
      <w:r w:rsidR="003A18A2" w:rsidRPr="008173C7">
        <w:rPr>
          <w:rFonts w:cs="Times New Roman"/>
          <w:lang w:val="en-US"/>
        </w:rPr>
        <w:t xml:space="preserve"> p</w:t>
      </w:r>
      <w:r w:rsidR="00A63E42" w:rsidRPr="008173C7">
        <w:rPr>
          <w:rFonts w:cs="Times New Roman"/>
          <w:lang w:val="en-US"/>
        </w:rPr>
        <w:t>olicy formulation and adoption</w:t>
      </w:r>
      <w:r w:rsidR="00A30910" w:rsidRPr="008173C7">
        <w:rPr>
          <w:rFonts w:cs="Times New Roman"/>
          <w:lang w:val="en-US"/>
        </w:rPr>
        <w:t>,</w:t>
      </w:r>
      <w:r w:rsidR="003A18A2" w:rsidRPr="008173C7">
        <w:rPr>
          <w:rFonts w:cs="Times New Roman"/>
          <w:lang w:val="en-US"/>
        </w:rPr>
        <w:t xml:space="preserve"> policy implementation</w:t>
      </w:r>
      <w:r w:rsidR="00A30910" w:rsidRPr="008173C7">
        <w:rPr>
          <w:rFonts w:cs="Times New Roman"/>
          <w:lang w:val="en-US"/>
        </w:rPr>
        <w:t>, and</w:t>
      </w:r>
      <w:r w:rsidR="003A18A2" w:rsidRPr="008173C7">
        <w:rPr>
          <w:rFonts w:cs="Times New Roman"/>
          <w:lang w:val="en-US"/>
        </w:rPr>
        <w:t xml:space="preserve"> </w:t>
      </w:r>
      <w:r w:rsidR="00FE72C3" w:rsidRPr="008173C7">
        <w:rPr>
          <w:rFonts w:cs="Times New Roman"/>
          <w:lang w:val="en-US"/>
        </w:rPr>
        <w:t xml:space="preserve">policy </w:t>
      </w:r>
      <w:r w:rsidR="003A18A2" w:rsidRPr="008173C7">
        <w:rPr>
          <w:rFonts w:cs="Times New Roman"/>
          <w:lang w:val="en-US"/>
        </w:rPr>
        <w:t>e</w:t>
      </w:r>
      <w:r w:rsidR="00A63E42" w:rsidRPr="008173C7">
        <w:rPr>
          <w:rFonts w:cs="Times New Roman"/>
          <w:lang w:val="en-US"/>
        </w:rPr>
        <w:t>valuation and reformulation</w:t>
      </w:r>
      <w:r w:rsidR="003F163A" w:rsidRPr="008173C7">
        <w:rPr>
          <w:rFonts w:cs="Times New Roman"/>
          <w:lang w:val="en-US"/>
        </w:rPr>
        <w:t>.</w:t>
      </w:r>
      <w:r w:rsidR="00964FB2" w:rsidRPr="008173C7">
        <w:rPr>
          <w:rFonts w:cs="Times New Roman"/>
          <w:lang w:val="en-US"/>
        </w:rPr>
        <w:t xml:space="preserve"> </w:t>
      </w:r>
      <w:r w:rsidR="003F163A" w:rsidRPr="008173C7">
        <w:rPr>
          <w:rFonts w:cs="Times New Roman"/>
          <w:lang w:val="en-US"/>
        </w:rPr>
        <w:t>T</w:t>
      </w:r>
      <w:r w:rsidR="009C4F45" w:rsidRPr="008173C7">
        <w:rPr>
          <w:rFonts w:cs="Times New Roman"/>
          <w:lang w:val="en-US"/>
        </w:rPr>
        <w:t xml:space="preserve">his linear </w:t>
      </w:r>
      <w:r w:rsidR="007C2475" w:rsidRPr="008173C7">
        <w:rPr>
          <w:rFonts w:cs="Times New Roman"/>
          <w:lang w:val="en-US"/>
        </w:rPr>
        <w:t xml:space="preserve">depiction </w:t>
      </w:r>
      <w:r w:rsidR="008708EC" w:rsidRPr="008173C7">
        <w:rPr>
          <w:rFonts w:cs="Times New Roman"/>
          <w:lang w:val="en-US"/>
        </w:rPr>
        <w:t>of policy</w:t>
      </w:r>
      <w:r w:rsidR="003F163A" w:rsidRPr="008173C7">
        <w:rPr>
          <w:rFonts w:cs="Times New Roman"/>
          <w:lang w:val="en-US"/>
        </w:rPr>
        <w:t>-</w:t>
      </w:r>
      <w:r w:rsidR="005E4AA0" w:rsidRPr="008173C7">
        <w:rPr>
          <w:rFonts w:cs="Times New Roman"/>
          <w:lang w:val="en-US"/>
        </w:rPr>
        <w:t>making</w:t>
      </w:r>
      <w:r w:rsidR="008708EC" w:rsidRPr="008173C7">
        <w:rPr>
          <w:rFonts w:cs="Times New Roman"/>
          <w:lang w:val="en-US"/>
        </w:rPr>
        <w:t xml:space="preserve"> </w:t>
      </w:r>
      <w:r w:rsidR="00FE72C3" w:rsidRPr="008173C7">
        <w:rPr>
          <w:rFonts w:cs="Times New Roman"/>
          <w:lang w:val="en-US"/>
        </w:rPr>
        <w:t xml:space="preserve">assumes </w:t>
      </w:r>
      <w:r w:rsidR="008708EC" w:rsidRPr="008173C7">
        <w:rPr>
          <w:rFonts w:cs="Times New Roman"/>
          <w:lang w:val="en-US"/>
        </w:rPr>
        <w:t xml:space="preserve">that </w:t>
      </w:r>
      <w:r w:rsidR="00D3364C" w:rsidRPr="008173C7">
        <w:rPr>
          <w:rFonts w:cs="Times New Roman"/>
          <w:lang w:val="en-US"/>
        </w:rPr>
        <w:t>policy</w:t>
      </w:r>
      <w:r w:rsidR="003F163A" w:rsidRPr="008173C7">
        <w:rPr>
          <w:rFonts w:cs="Times New Roman"/>
          <w:lang w:val="en-US"/>
        </w:rPr>
        <w:t>-</w:t>
      </w:r>
      <w:r w:rsidR="00D3364C" w:rsidRPr="008173C7">
        <w:rPr>
          <w:rFonts w:cs="Times New Roman"/>
          <w:lang w:val="en-US"/>
        </w:rPr>
        <w:t xml:space="preserve">makers </w:t>
      </w:r>
      <w:r w:rsidR="00D93F75" w:rsidRPr="008173C7">
        <w:rPr>
          <w:rFonts w:cs="Times New Roman"/>
          <w:lang w:val="en-US"/>
        </w:rPr>
        <w:t xml:space="preserve">are perfectly </w:t>
      </w:r>
      <w:r w:rsidR="00D3364C" w:rsidRPr="008173C7">
        <w:rPr>
          <w:rFonts w:cs="Times New Roman"/>
          <w:lang w:val="en-US"/>
        </w:rPr>
        <w:t>rational</w:t>
      </w:r>
      <w:r w:rsidR="00BC4CAC" w:rsidRPr="008173C7">
        <w:rPr>
          <w:rFonts w:cs="Times New Roman"/>
          <w:lang w:val="en-US"/>
        </w:rPr>
        <w:t xml:space="preserve"> </w:t>
      </w:r>
      <w:r w:rsidR="00460B27" w:rsidRPr="008173C7">
        <w:rPr>
          <w:rFonts w:cs="Times New Roman"/>
          <w:lang w:val="en-US"/>
        </w:rPr>
        <w:t>actors</w:t>
      </w:r>
      <w:r w:rsidR="00D3364C" w:rsidRPr="008173C7">
        <w:rPr>
          <w:rFonts w:cs="Times New Roman"/>
          <w:lang w:val="en-US"/>
        </w:rPr>
        <w:t xml:space="preserve">, and that </w:t>
      </w:r>
      <w:r w:rsidR="00A30910" w:rsidRPr="008173C7">
        <w:rPr>
          <w:rFonts w:cs="Times New Roman"/>
          <w:lang w:val="en-US"/>
        </w:rPr>
        <w:t xml:space="preserve">the knowledge produced by science </w:t>
      </w:r>
      <w:r w:rsidR="00637E12" w:rsidRPr="008173C7">
        <w:rPr>
          <w:rFonts w:cs="Times New Roman"/>
          <w:lang w:val="en-US"/>
        </w:rPr>
        <w:t xml:space="preserve">if correctly "packed” and "disseminated" </w:t>
      </w:r>
      <w:r w:rsidR="00FE72C3" w:rsidRPr="008173C7">
        <w:rPr>
          <w:rFonts w:cs="Times New Roman"/>
          <w:lang w:val="en-US"/>
        </w:rPr>
        <w:t xml:space="preserve">can </w:t>
      </w:r>
      <w:r w:rsidR="008708EC" w:rsidRPr="008173C7">
        <w:rPr>
          <w:rFonts w:cs="Times New Roman"/>
          <w:lang w:val="en-US"/>
        </w:rPr>
        <w:t xml:space="preserve">be </w:t>
      </w:r>
      <w:r w:rsidR="00A30910" w:rsidRPr="008173C7">
        <w:rPr>
          <w:rFonts w:cs="Times New Roman"/>
          <w:lang w:val="en-US"/>
        </w:rPr>
        <w:t xml:space="preserve">used </w:t>
      </w:r>
      <w:r w:rsidR="00466CFA" w:rsidRPr="008173C7">
        <w:rPr>
          <w:rFonts w:cs="Times New Roman"/>
          <w:lang w:val="en-US"/>
        </w:rPr>
        <w:t>directly</w:t>
      </w:r>
      <w:r w:rsidR="00322788" w:rsidRPr="008173C7">
        <w:rPr>
          <w:rFonts w:cs="Times New Roman"/>
          <w:lang w:val="en-US"/>
        </w:rPr>
        <w:t xml:space="preserve"> (instantly)</w:t>
      </w:r>
      <w:r w:rsidR="00466CFA" w:rsidRPr="008173C7">
        <w:rPr>
          <w:rFonts w:cs="Times New Roman"/>
          <w:lang w:val="en-US"/>
        </w:rPr>
        <w:t xml:space="preserve"> </w:t>
      </w:r>
      <w:r w:rsidR="008708EC" w:rsidRPr="008173C7">
        <w:rPr>
          <w:rFonts w:cs="Times New Roman"/>
          <w:lang w:val="en-US"/>
        </w:rPr>
        <w:t xml:space="preserve">by decision-makers </w:t>
      </w:r>
      <w:r w:rsidR="00DA7E42" w:rsidRPr="00DA7E42">
        <w:rPr>
          <w:rFonts w:cs="Times New Roman"/>
          <w:lang w:val="en-US"/>
        </w:rPr>
        <w:t>(Caplan 1979)</w:t>
      </w:r>
      <w:r w:rsidR="008708EC" w:rsidRPr="008173C7">
        <w:rPr>
          <w:rFonts w:cs="Times New Roman"/>
          <w:lang w:val="en-US"/>
        </w:rPr>
        <w:t xml:space="preserve">. </w:t>
      </w:r>
      <w:r w:rsidR="00637E12" w:rsidRPr="008173C7">
        <w:rPr>
          <w:rFonts w:cs="Times New Roman"/>
          <w:lang w:val="en-US"/>
        </w:rPr>
        <w:t>However, t</w:t>
      </w:r>
      <w:r w:rsidR="008C508D" w:rsidRPr="008173C7">
        <w:rPr>
          <w:rFonts w:cs="Times New Roman"/>
          <w:lang w:val="en-US"/>
        </w:rPr>
        <w:t xml:space="preserve">his </w:t>
      </w:r>
      <w:r w:rsidR="002E11D4" w:rsidRPr="008173C7">
        <w:rPr>
          <w:rFonts w:cs="Times New Roman"/>
          <w:lang w:val="en-US"/>
        </w:rPr>
        <w:t xml:space="preserve">vision which </w:t>
      </w:r>
      <w:r w:rsidR="00EB0EB7" w:rsidRPr="008173C7">
        <w:rPr>
          <w:rFonts w:cs="Times New Roman"/>
          <w:lang w:val="en-US"/>
        </w:rPr>
        <w:t xml:space="preserve">often </w:t>
      </w:r>
      <w:r w:rsidR="00637E12" w:rsidRPr="008173C7">
        <w:rPr>
          <w:rFonts w:cs="Times New Roman"/>
          <w:lang w:val="en-US"/>
        </w:rPr>
        <w:t xml:space="preserve">continues to </w:t>
      </w:r>
      <w:r w:rsidR="008C508D" w:rsidRPr="008173C7">
        <w:rPr>
          <w:rFonts w:cs="Times New Roman"/>
          <w:lang w:val="en-US"/>
        </w:rPr>
        <w:t xml:space="preserve">permeate </w:t>
      </w:r>
      <w:r w:rsidR="00C1264F" w:rsidRPr="008173C7">
        <w:rPr>
          <w:rFonts w:cs="Times New Roman"/>
          <w:lang w:val="en-US"/>
        </w:rPr>
        <w:t>the way policy research project</w:t>
      </w:r>
      <w:r w:rsidR="008E075A" w:rsidRPr="008173C7">
        <w:rPr>
          <w:rFonts w:cs="Times New Roman"/>
          <w:lang w:val="en-US"/>
        </w:rPr>
        <w:t>s</w:t>
      </w:r>
      <w:r w:rsidR="004869A9" w:rsidRPr="008173C7">
        <w:rPr>
          <w:rFonts w:cs="Times New Roman"/>
          <w:lang w:val="en-US"/>
        </w:rPr>
        <w:t xml:space="preserve"> are </w:t>
      </w:r>
      <w:r w:rsidR="004E22CD" w:rsidRPr="008173C7">
        <w:rPr>
          <w:rFonts w:cs="Times New Roman"/>
          <w:lang w:val="en-US"/>
        </w:rPr>
        <w:t>conducted,</w:t>
      </w:r>
      <w:r w:rsidR="00C1264F" w:rsidRPr="008173C7">
        <w:rPr>
          <w:rFonts w:cs="Times New Roman"/>
          <w:lang w:val="en-US"/>
        </w:rPr>
        <w:t xml:space="preserve"> </w:t>
      </w:r>
      <w:r w:rsidR="00637E12" w:rsidRPr="008173C7">
        <w:rPr>
          <w:rFonts w:cs="Times New Roman"/>
          <w:lang w:val="en-US"/>
        </w:rPr>
        <w:t xml:space="preserve">has been </w:t>
      </w:r>
      <w:r w:rsidR="008C508D" w:rsidRPr="008173C7">
        <w:rPr>
          <w:rFonts w:cs="Times New Roman"/>
          <w:lang w:val="en-US"/>
        </w:rPr>
        <w:t>challenged</w:t>
      </w:r>
      <w:r w:rsidR="00A30910" w:rsidRPr="008173C7">
        <w:rPr>
          <w:rFonts w:cs="Times New Roman"/>
          <w:lang w:val="en-US"/>
        </w:rPr>
        <w:t xml:space="preserve"> from many angles</w:t>
      </w:r>
      <w:r w:rsidR="004869A9" w:rsidRPr="008173C7">
        <w:rPr>
          <w:rFonts w:cs="Times New Roman"/>
          <w:lang w:val="en-US"/>
        </w:rPr>
        <w:t>.</w:t>
      </w:r>
    </w:p>
    <w:p w14:paraId="57010815" w14:textId="3049084E" w:rsidR="008C2462" w:rsidRPr="008173C7" w:rsidRDefault="00C14352" w:rsidP="000401BB">
      <w:pPr>
        <w:spacing w:line="480" w:lineRule="auto"/>
        <w:rPr>
          <w:rFonts w:cs="Times New Roman"/>
          <w:lang w:val="en-US"/>
        </w:rPr>
      </w:pPr>
      <w:r w:rsidRPr="008173C7">
        <w:rPr>
          <w:rFonts w:cs="Times New Roman"/>
          <w:lang w:val="en-US"/>
        </w:rPr>
        <w:t>A first development c</w:t>
      </w:r>
      <w:r w:rsidR="00244056" w:rsidRPr="008173C7">
        <w:rPr>
          <w:rFonts w:cs="Times New Roman"/>
          <w:lang w:val="en-US"/>
        </w:rPr>
        <w:t>onsiders</w:t>
      </w:r>
      <w:r w:rsidRPr="008173C7">
        <w:rPr>
          <w:rFonts w:cs="Times New Roman"/>
          <w:lang w:val="en-US"/>
        </w:rPr>
        <w:t xml:space="preserve"> the intermittent attention of policy makers. </w:t>
      </w:r>
      <w:r w:rsidR="001E4603" w:rsidRPr="008173C7">
        <w:rPr>
          <w:rFonts w:cs="Times New Roman"/>
          <w:lang w:val="en-US"/>
        </w:rPr>
        <w:t>Weiss</w:t>
      </w:r>
      <w:r w:rsidR="005D08AD" w:rsidRPr="008173C7">
        <w:rPr>
          <w:rFonts w:cs="Times New Roman"/>
          <w:lang w:val="en-US"/>
        </w:rPr>
        <w:t>’s</w:t>
      </w:r>
      <w:r w:rsidR="001E4603" w:rsidRPr="008173C7">
        <w:rPr>
          <w:rFonts w:cs="Times New Roman"/>
          <w:lang w:val="en-US"/>
        </w:rPr>
        <w:t xml:space="preserve"> </w:t>
      </w:r>
      <w:r w:rsidR="0006516C" w:rsidRPr="008173C7">
        <w:rPr>
          <w:rFonts w:cs="Times New Roman"/>
          <w:lang w:val="en-US"/>
        </w:rPr>
        <w:t>(1977, 1979)</w:t>
      </w:r>
      <w:r w:rsidR="0056344D" w:rsidRPr="008173C7">
        <w:rPr>
          <w:rFonts w:cs="Times New Roman"/>
          <w:lang w:val="en-US"/>
        </w:rPr>
        <w:t xml:space="preserve"> </w:t>
      </w:r>
      <w:r w:rsidR="005D08AD" w:rsidRPr="008173C7">
        <w:rPr>
          <w:rFonts w:cs="Times New Roman"/>
          <w:lang w:val="en-US"/>
        </w:rPr>
        <w:t>contribution</w:t>
      </w:r>
      <w:r w:rsidR="00637E12" w:rsidRPr="008173C7">
        <w:rPr>
          <w:rFonts w:cs="Times New Roman"/>
          <w:lang w:val="en-US"/>
        </w:rPr>
        <w:t xml:space="preserve"> which has been</w:t>
      </w:r>
      <w:r w:rsidR="001E4603" w:rsidRPr="008173C7">
        <w:rPr>
          <w:rFonts w:cs="Times New Roman"/>
          <w:lang w:val="en-US"/>
        </w:rPr>
        <w:t xml:space="preserve"> </w:t>
      </w:r>
      <w:r w:rsidR="00B93CFE" w:rsidRPr="008173C7">
        <w:rPr>
          <w:rFonts w:cs="Times New Roman"/>
          <w:lang w:val="en-US"/>
        </w:rPr>
        <w:t xml:space="preserve">taken up by </w:t>
      </w:r>
      <w:r w:rsidR="001E4603" w:rsidRPr="008173C7">
        <w:rPr>
          <w:rFonts w:cs="Times New Roman"/>
          <w:lang w:val="en-US"/>
        </w:rPr>
        <w:t xml:space="preserve">contemporary </w:t>
      </w:r>
      <w:r w:rsidR="00B93CFE" w:rsidRPr="008173C7">
        <w:rPr>
          <w:rFonts w:cs="Times New Roman"/>
          <w:lang w:val="en-US"/>
        </w:rPr>
        <w:t xml:space="preserve">authors, </w:t>
      </w:r>
      <w:r w:rsidR="00212724" w:rsidRPr="008173C7">
        <w:rPr>
          <w:rFonts w:cs="Times New Roman"/>
          <w:lang w:val="en-US"/>
        </w:rPr>
        <w:t xml:space="preserve">highlights the importance of context </w:t>
      </w:r>
      <w:r w:rsidR="00B93CFE" w:rsidRPr="008173C7">
        <w:rPr>
          <w:rFonts w:cs="Times New Roman"/>
          <w:lang w:val="en-US"/>
        </w:rPr>
        <w:t>(societal concern</w:t>
      </w:r>
      <w:r w:rsidR="00637E12" w:rsidRPr="008173C7">
        <w:rPr>
          <w:rFonts w:cs="Times New Roman"/>
          <w:lang w:val="en-US"/>
        </w:rPr>
        <w:t>s</w:t>
      </w:r>
      <w:r w:rsidR="00B93CFE" w:rsidRPr="008173C7">
        <w:rPr>
          <w:rFonts w:cs="Times New Roman"/>
          <w:lang w:val="en-US"/>
        </w:rPr>
        <w:t>, change</w:t>
      </w:r>
      <w:r w:rsidR="00637E12" w:rsidRPr="008173C7">
        <w:rPr>
          <w:rFonts w:cs="Times New Roman"/>
          <w:lang w:val="en-US"/>
        </w:rPr>
        <w:t xml:space="preserve">s </w:t>
      </w:r>
      <w:r w:rsidR="00A30910" w:rsidRPr="008173C7">
        <w:rPr>
          <w:rFonts w:cs="Times New Roman"/>
          <w:lang w:val="en-US"/>
        </w:rPr>
        <w:t xml:space="preserve">to </w:t>
      </w:r>
      <w:r w:rsidR="00637E12" w:rsidRPr="008173C7">
        <w:rPr>
          <w:rFonts w:cs="Times New Roman"/>
          <w:lang w:val="en-US"/>
        </w:rPr>
        <w:t>the</w:t>
      </w:r>
      <w:r w:rsidR="00B93CFE" w:rsidRPr="008173C7">
        <w:rPr>
          <w:rFonts w:cs="Times New Roman"/>
          <w:lang w:val="en-US"/>
        </w:rPr>
        <w:t xml:space="preserve"> economic context) </w:t>
      </w:r>
      <w:r w:rsidR="00212724" w:rsidRPr="008173C7">
        <w:rPr>
          <w:rFonts w:cs="Times New Roman"/>
          <w:lang w:val="en-US"/>
        </w:rPr>
        <w:t>on the timing an</w:t>
      </w:r>
      <w:r w:rsidR="00712CAD" w:rsidRPr="008173C7">
        <w:rPr>
          <w:rFonts w:cs="Times New Roman"/>
          <w:lang w:val="en-US"/>
        </w:rPr>
        <w:t>d flow of policy-</w:t>
      </w:r>
      <w:r w:rsidR="00212724" w:rsidRPr="008173C7">
        <w:rPr>
          <w:rFonts w:cs="Times New Roman"/>
          <w:lang w:val="en-US"/>
        </w:rPr>
        <w:t>making</w:t>
      </w:r>
      <w:r w:rsidR="00637E12" w:rsidRPr="008173C7">
        <w:rPr>
          <w:rFonts w:cs="Times New Roman"/>
          <w:lang w:val="en-US"/>
        </w:rPr>
        <w:t>,</w:t>
      </w:r>
      <w:r w:rsidR="00212724" w:rsidRPr="008173C7">
        <w:rPr>
          <w:rFonts w:cs="Times New Roman"/>
          <w:lang w:val="en-US"/>
        </w:rPr>
        <w:t xml:space="preserve"> and the use of research knowledge. </w:t>
      </w:r>
      <w:r w:rsidR="00637E12" w:rsidRPr="008173C7">
        <w:rPr>
          <w:rFonts w:cs="Times New Roman"/>
          <w:lang w:val="en-US"/>
        </w:rPr>
        <w:t>More r</w:t>
      </w:r>
      <w:r w:rsidR="00EF3375" w:rsidRPr="008173C7">
        <w:rPr>
          <w:rFonts w:cs="Times New Roman"/>
          <w:lang w:val="en-US"/>
        </w:rPr>
        <w:t xml:space="preserve">ecent evaluation approaches </w:t>
      </w:r>
      <w:r w:rsidR="00B33C40" w:rsidRPr="008173C7">
        <w:rPr>
          <w:rFonts w:cs="Times New Roman"/>
          <w:lang w:val="en-US"/>
        </w:rPr>
        <w:t>also emphasi</w:t>
      </w:r>
      <w:r w:rsidR="00637E12" w:rsidRPr="008173C7">
        <w:rPr>
          <w:rFonts w:cs="Times New Roman"/>
          <w:lang w:val="en-US"/>
        </w:rPr>
        <w:t>ze</w:t>
      </w:r>
      <w:r w:rsidR="00B33C40" w:rsidRPr="008173C7">
        <w:rPr>
          <w:rFonts w:cs="Times New Roman"/>
          <w:lang w:val="en-US"/>
        </w:rPr>
        <w:t xml:space="preserve"> the</w:t>
      </w:r>
      <w:r w:rsidR="007B629A" w:rsidRPr="008173C7">
        <w:rPr>
          <w:rFonts w:cs="Times New Roman"/>
          <w:lang w:val="en-US"/>
        </w:rPr>
        <w:t xml:space="preserve"> policy-making </w:t>
      </w:r>
      <w:r w:rsidR="00A30910" w:rsidRPr="008173C7">
        <w:rPr>
          <w:rFonts w:cs="Times New Roman"/>
          <w:lang w:val="en-US"/>
        </w:rPr>
        <w:t xml:space="preserve">timeline </w:t>
      </w:r>
      <w:r w:rsidR="004B0477" w:rsidRPr="008173C7">
        <w:rPr>
          <w:rFonts w:cs="Times New Roman"/>
          <w:lang w:val="en-US"/>
        </w:rPr>
        <w:t>(</w:t>
      </w:r>
      <w:r w:rsidR="00466CFA" w:rsidRPr="008173C7">
        <w:rPr>
          <w:rFonts w:cs="Times New Roman"/>
          <w:lang w:val="en-US"/>
        </w:rPr>
        <w:t xml:space="preserve">incremental </w:t>
      </w:r>
      <w:r w:rsidR="00605F30" w:rsidRPr="008173C7">
        <w:rPr>
          <w:rFonts w:cs="Times New Roman"/>
          <w:lang w:val="en-US"/>
        </w:rPr>
        <w:t>vs</w:t>
      </w:r>
      <w:r w:rsidR="00637E12" w:rsidRPr="008173C7">
        <w:rPr>
          <w:rFonts w:cs="Times New Roman"/>
          <w:lang w:val="en-US"/>
        </w:rPr>
        <w:t>.</w:t>
      </w:r>
      <w:r w:rsidR="00466CFA" w:rsidRPr="008173C7">
        <w:rPr>
          <w:rFonts w:cs="Times New Roman"/>
          <w:lang w:val="en-US"/>
        </w:rPr>
        <w:t xml:space="preserve"> sudden</w:t>
      </w:r>
      <w:r w:rsidR="00605F30" w:rsidRPr="008173C7">
        <w:rPr>
          <w:rFonts w:cs="Times New Roman"/>
          <w:lang w:val="en-US"/>
        </w:rPr>
        <w:t xml:space="preserve"> policy changes</w:t>
      </w:r>
      <w:r w:rsidR="00466CFA" w:rsidRPr="008173C7">
        <w:rPr>
          <w:rFonts w:cs="Times New Roman"/>
          <w:lang w:val="en-US"/>
        </w:rPr>
        <w:t>)</w:t>
      </w:r>
      <w:r w:rsidR="00637E12" w:rsidRPr="008173C7">
        <w:rPr>
          <w:rFonts w:cs="Times New Roman"/>
          <w:lang w:val="en-US"/>
        </w:rPr>
        <w:t xml:space="preserve"> which is given </w:t>
      </w:r>
      <w:r w:rsidR="000340DB" w:rsidRPr="008173C7">
        <w:rPr>
          <w:rFonts w:cs="Times New Roman"/>
          <w:lang w:val="en-US"/>
        </w:rPr>
        <w:t>in</w:t>
      </w:r>
      <w:r w:rsidR="00637E12" w:rsidRPr="008173C7">
        <w:rPr>
          <w:rFonts w:cs="Times New Roman"/>
          <w:lang w:val="en-US"/>
        </w:rPr>
        <w:t>sufficient weight</w:t>
      </w:r>
      <w:r w:rsidR="00466CFA" w:rsidRPr="008173C7">
        <w:rPr>
          <w:rFonts w:cs="Times New Roman"/>
          <w:lang w:val="en-US"/>
        </w:rPr>
        <w:t xml:space="preserve"> in linear models </w:t>
      </w:r>
      <w:r w:rsidR="00B44642">
        <w:rPr>
          <w:rFonts w:cs="Times New Roman"/>
          <w:lang w:val="en-US"/>
        </w:rPr>
        <w:t>(Cozzens and</w:t>
      </w:r>
      <w:r w:rsidR="00DA7E42" w:rsidRPr="00DA7E42">
        <w:rPr>
          <w:rFonts w:cs="Times New Roman"/>
          <w:lang w:val="en-US"/>
        </w:rPr>
        <w:t xml:space="preserve"> Snoek 2010; Jones 2009; Weiss 1979)</w:t>
      </w:r>
      <w:r w:rsidR="00466CFA" w:rsidRPr="008173C7">
        <w:rPr>
          <w:rFonts w:cs="Times New Roman"/>
          <w:lang w:val="en-US"/>
        </w:rPr>
        <w:t xml:space="preserve">. </w:t>
      </w:r>
      <w:r w:rsidR="00792D25" w:rsidRPr="008173C7">
        <w:rPr>
          <w:rFonts w:cs="Times New Roman"/>
          <w:lang w:val="en-US"/>
        </w:rPr>
        <w:t>These insights</w:t>
      </w:r>
      <w:r w:rsidR="007B629A" w:rsidRPr="008173C7">
        <w:rPr>
          <w:rFonts w:cs="Times New Roman"/>
          <w:lang w:val="en-US"/>
        </w:rPr>
        <w:t xml:space="preserve"> spur</w:t>
      </w:r>
      <w:r w:rsidR="00637E12" w:rsidRPr="008173C7">
        <w:rPr>
          <w:rFonts w:cs="Times New Roman"/>
          <w:lang w:val="en-US"/>
        </w:rPr>
        <w:t xml:space="preserve">red work on </w:t>
      </w:r>
      <w:r w:rsidR="00DA179D" w:rsidRPr="008173C7">
        <w:rPr>
          <w:rFonts w:cs="Times New Roman"/>
          <w:lang w:val="en-US"/>
        </w:rPr>
        <w:t xml:space="preserve">the </w:t>
      </w:r>
      <w:r w:rsidR="003D6739" w:rsidRPr="008173C7">
        <w:rPr>
          <w:rFonts w:cs="Times New Roman"/>
          <w:lang w:val="en-US"/>
        </w:rPr>
        <w:t>contribution of research to</w:t>
      </w:r>
      <w:r w:rsidR="00C93CFE" w:rsidRPr="008173C7">
        <w:rPr>
          <w:rFonts w:cs="Times New Roman"/>
          <w:lang w:val="en-US"/>
        </w:rPr>
        <w:t xml:space="preserve"> policy change</w:t>
      </w:r>
      <w:r w:rsidR="008E075A" w:rsidRPr="008173C7">
        <w:rPr>
          <w:rFonts w:cs="Times New Roman"/>
          <w:lang w:val="en-US"/>
        </w:rPr>
        <w:t>s</w:t>
      </w:r>
      <w:r w:rsidR="007B629A" w:rsidRPr="008173C7">
        <w:rPr>
          <w:rFonts w:cs="Times New Roman"/>
          <w:lang w:val="en-US"/>
        </w:rPr>
        <w:t xml:space="preserve"> </w:t>
      </w:r>
      <w:r w:rsidR="000340DB" w:rsidRPr="008173C7">
        <w:rPr>
          <w:rFonts w:cs="Times New Roman"/>
          <w:lang w:val="en-US"/>
        </w:rPr>
        <w:t>from the perspective of the “</w:t>
      </w:r>
      <w:r w:rsidR="000934A0" w:rsidRPr="008173C7">
        <w:rPr>
          <w:rFonts w:cs="Times New Roman"/>
          <w:lang w:val="en-US"/>
        </w:rPr>
        <w:t>windows of opportunity</w:t>
      </w:r>
      <w:r w:rsidR="000340DB" w:rsidRPr="008173C7">
        <w:rPr>
          <w:rFonts w:cs="Times New Roman"/>
          <w:lang w:val="en-US"/>
        </w:rPr>
        <w:t>”</w:t>
      </w:r>
      <w:r w:rsidR="000934A0" w:rsidRPr="008173C7">
        <w:rPr>
          <w:rFonts w:cs="Times New Roman"/>
          <w:lang w:val="en-US"/>
        </w:rPr>
        <w:t xml:space="preserve"> </w:t>
      </w:r>
      <w:r w:rsidR="00637E12" w:rsidRPr="008173C7">
        <w:rPr>
          <w:rFonts w:cs="Times New Roman"/>
          <w:lang w:val="en-US"/>
        </w:rPr>
        <w:t xml:space="preserve">to use </w:t>
      </w:r>
      <w:r w:rsidR="000934A0" w:rsidRPr="008173C7">
        <w:rPr>
          <w:rFonts w:cs="Times New Roman"/>
          <w:lang w:val="en-US"/>
        </w:rPr>
        <w:t xml:space="preserve">research results </w:t>
      </w:r>
      <w:r w:rsidR="00DA7E42">
        <w:rPr>
          <w:rFonts w:cs="Times New Roman"/>
          <w:lang w:val="en-US"/>
        </w:rPr>
        <w:t>(</w:t>
      </w:r>
      <w:r w:rsidR="00DA7E42" w:rsidRPr="00DA7E42">
        <w:rPr>
          <w:rFonts w:cs="Times New Roman"/>
          <w:lang w:val="en-US"/>
        </w:rPr>
        <w:t>Kingdon 1984; Lindquist 2001)</w:t>
      </w:r>
      <w:r w:rsidR="007B629A" w:rsidRPr="008173C7">
        <w:rPr>
          <w:rFonts w:cs="Times New Roman"/>
          <w:lang w:val="en-US"/>
        </w:rPr>
        <w:t xml:space="preserve">. Scientific knowledge </w:t>
      </w:r>
      <w:r w:rsidR="00637E12" w:rsidRPr="008173C7">
        <w:rPr>
          <w:rFonts w:cs="Times New Roman"/>
          <w:lang w:val="en-US"/>
        </w:rPr>
        <w:t xml:space="preserve">is more likely to </w:t>
      </w:r>
      <w:r w:rsidR="007B629A" w:rsidRPr="008173C7">
        <w:rPr>
          <w:rFonts w:cs="Times New Roman"/>
          <w:lang w:val="en-US"/>
        </w:rPr>
        <w:t>be</w:t>
      </w:r>
      <w:r w:rsidR="000340DB" w:rsidRPr="008173C7">
        <w:rPr>
          <w:rFonts w:cs="Times New Roman"/>
          <w:lang w:val="en-US"/>
        </w:rPr>
        <w:t xml:space="preserve">come </w:t>
      </w:r>
      <w:r w:rsidR="00637E12" w:rsidRPr="008173C7">
        <w:rPr>
          <w:rFonts w:cs="Times New Roman"/>
          <w:lang w:val="en-US"/>
        </w:rPr>
        <w:t xml:space="preserve">the basis </w:t>
      </w:r>
      <w:r w:rsidR="007B629A" w:rsidRPr="008173C7">
        <w:rPr>
          <w:rFonts w:cs="Times New Roman"/>
          <w:lang w:val="en-US"/>
        </w:rPr>
        <w:t>for policy-making if it matches</w:t>
      </w:r>
      <w:r w:rsidR="005C6248" w:rsidRPr="008173C7">
        <w:rPr>
          <w:rFonts w:cs="Times New Roman"/>
          <w:lang w:val="en-US"/>
        </w:rPr>
        <w:t xml:space="preserve"> societal or </w:t>
      </w:r>
      <w:r w:rsidR="00A55186" w:rsidRPr="008173C7">
        <w:rPr>
          <w:rFonts w:cs="Times New Roman"/>
          <w:lang w:val="en-US"/>
        </w:rPr>
        <w:t>sectoral</w:t>
      </w:r>
      <w:r w:rsidR="005C6248" w:rsidRPr="008173C7">
        <w:rPr>
          <w:rFonts w:cs="Times New Roman"/>
          <w:lang w:val="en-US"/>
        </w:rPr>
        <w:t xml:space="preserve"> concerns</w:t>
      </w:r>
      <w:r w:rsidR="00637E12" w:rsidRPr="008173C7">
        <w:rPr>
          <w:rFonts w:cs="Times New Roman"/>
          <w:lang w:val="en-US"/>
        </w:rPr>
        <w:t>,</w:t>
      </w:r>
      <w:r w:rsidR="005C6248" w:rsidRPr="008173C7">
        <w:rPr>
          <w:rFonts w:cs="Times New Roman"/>
          <w:lang w:val="en-US"/>
        </w:rPr>
        <w:t xml:space="preserve"> or political </w:t>
      </w:r>
      <w:r w:rsidR="000340DB" w:rsidRPr="008173C7">
        <w:rPr>
          <w:rFonts w:cs="Times New Roman"/>
          <w:lang w:val="en-US"/>
        </w:rPr>
        <w:t>preoccupations</w:t>
      </w:r>
      <w:r w:rsidR="005C6248" w:rsidRPr="008173C7">
        <w:rPr>
          <w:rFonts w:cs="Times New Roman"/>
          <w:lang w:val="en-US"/>
        </w:rPr>
        <w:t xml:space="preserve"> </w:t>
      </w:r>
      <w:r w:rsidR="00DA7E42" w:rsidRPr="00DA7E42">
        <w:rPr>
          <w:rFonts w:cs="Times New Roman"/>
          <w:lang w:val="en-US"/>
        </w:rPr>
        <w:t>(Kingdon 1984)</w:t>
      </w:r>
      <w:r w:rsidR="005C6248" w:rsidRPr="008173C7">
        <w:rPr>
          <w:rFonts w:cs="Times New Roman"/>
          <w:lang w:val="en-US"/>
        </w:rPr>
        <w:t>.</w:t>
      </w:r>
    </w:p>
    <w:p w14:paraId="5DA0018B" w14:textId="1999028B" w:rsidR="007C2475" w:rsidRPr="008173C7" w:rsidRDefault="00C14352" w:rsidP="000401BB">
      <w:pPr>
        <w:spacing w:line="480" w:lineRule="auto"/>
        <w:rPr>
          <w:rFonts w:cs="Times New Roman"/>
          <w:lang w:val="en-US"/>
        </w:rPr>
      </w:pPr>
      <w:r w:rsidRPr="008173C7">
        <w:rPr>
          <w:rFonts w:cs="Times New Roman"/>
          <w:lang w:val="en-US"/>
        </w:rPr>
        <w:t>Another development</w:t>
      </w:r>
      <w:r w:rsidR="00637E12" w:rsidRPr="008173C7">
        <w:rPr>
          <w:rFonts w:cs="Times New Roman"/>
          <w:lang w:val="en-US"/>
        </w:rPr>
        <w:t xml:space="preserve"> </w:t>
      </w:r>
      <w:r w:rsidR="00071015" w:rsidRPr="008173C7">
        <w:rPr>
          <w:rFonts w:cs="Times New Roman"/>
          <w:lang w:val="en-US"/>
        </w:rPr>
        <w:t xml:space="preserve">posits that the </w:t>
      </w:r>
      <w:r w:rsidR="003D6739" w:rsidRPr="008173C7">
        <w:rPr>
          <w:rFonts w:cs="Times New Roman"/>
          <w:lang w:val="en-US"/>
        </w:rPr>
        <w:t>contribution of scientific knowledge to</w:t>
      </w:r>
      <w:r w:rsidR="00EC1D9D" w:rsidRPr="008173C7">
        <w:rPr>
          <w:rFonts w:cs="Times New Roman"/>
          <w:lang w:val="en-US"/>
        </w:rPr>
        <w:t xml:space="preserve"> public polic</w:t>
      </w:r>
      <w:r w:rsidR="00637E12" w:rsidRPr="008173C7">
        <w:rPr>
          <w:rFonts w:cs="Times New Roman"/>
          <w:lang w:val="en-US"/>
        </w:rPr>
        <w:t>y</w:t>
      </w:r>
      <w:r w:rsidR="00EC1D9D" w:rsidRPr="008173C7">
        <w:rPr>
          <w:rFonts w:cs="Times New Roman"/>
          <w:lang w:val="en-US"/>
        </w:rPr>
        <w:t xml:space="preserve"> </w:t>
      </w:r>
      <w:r w:rsidR="008C508D" w:rsidRPr="008173C7">
        <w:rPr>
          <w:rFonts w:cs="Times New Roman"/>
          <w:lang w:val="en-US"/>
        </w:rPr>
        <w:t>is not primarily a matter of i</w:t>
      </w:r>
      <w:r w:rsidR="00C1264F" w:rsidRPr="008173C7">
        <w:rPr>
          <w:rFonts w:cs="Times New Roman"/>
          <w:lang w:val="en-US"/>
        </w:rPr>
        <w:t xml:space="preserve">nformation flow and format but </w:t>
      </w:r>
      <w:r w:rsidR="00637E12" w:rsidRPr="008173C7">
        <w:rPr>
          <w:rFonts w:cs="Times New Roman"/>
          <w:lang w:val="en-US"/>
        </w:rPr>
        <w:t xml:space="preserve">rather </w:t>
      </w:r>
      <w:r w:rsidR="0081780A" w:rsidRPr="008173C7">
        <w:rPr>
          <w:rFonts w:cs="Times New Roman"/>
          <w:lang w:val="en-US"/>
        </w:rPr>
        <w:t xml:space="preserve">is </w:t>
      </w:r>
      <w:r w:rsidR="00C1264F" w:rsidRPr="008173C7">
        <w:rPr>
          <w:rFonts w:cs="Times New Roman"/>
          <w:lang w:val="en-US"/>
        </w:rPr>
        <w:t xml:space="preserve">a social process </w:t>
      </w:r>
      <w:r w:rsidR="00637E12" w:rsidRPr="008173C7">
        <w:rPr>
          <w:rFonts w:cs="Times New Roman"/>
          <w:lang w:val="en-US"/>
        </w:rPr>
        <w:t xml:space="preserve">which </w:t>
      </w:r>
      <w:r w:rsidR="0081780A" w:rsidRPr="008173C7">
        <w:rPr>
          <w:rFonts w:cs="Times New Roman"/>
          <w:lang w:val="en-US"/>
        </w:rPr>
        <w:t>depends</w:t>
      </w:r>
      <w:r w:rsidR="00C1264F" w:rsidRPr="008173C7">
        <w:rPr>
          <w:rFonts w:cs="Times New Roman"/>
          <w:lang w:val="en-US"/>
        </w:rPr>
        <w:t xml:space="preserve"> on networks, credibility, </w:t>
      </w:r>
      <w:r w:rsidR="0081780A" w:rsidRPr="008173C7">
        <w:rPr>
          <w:rFonts w:cs="Times New Roman"/>
          <w:lang w:val="en-US"/>
        </w:rPr>
        <w:t xml:space="preserve">and </w:t>
      </w:r>
      <w:r w:rsidR="00637E12" w:rsidRPr="008173C7">
        <w:rPr>
          <w:rFonts w:cs="Times New Roman"/>
          <w:lang w:val="en-US"/>
        </w:rPr>
        <w:t xml:space="preserve">the </w:t>
      </w:r>
      <w:r w:rsidR="00C1264F" w:rsidRPr="008173C7">
        <w:rPr>
          <w:rFonts w:cs="Times New Roman"/>
          <w:lang w:val="en-US"/>
        </w:rPr>
        <w:t xml:space="preserve">balance of power </w:t>
      </w:r>
      <w:r w:rsidR="00EC1D9D" w:rsidRPr="008173C7">
        <w:rPr>
          <w:rFonts w:cs="Times New Roman"/>
          <w:lang w:val="en-US"/>
        </w:rPr>
        <w:t xml:space="preserve">in policy-making </w:t>
      </w:r>
      <w:r w:rsidR="00DA7E42" w:rsidRPr="00DA7E42">
        <w:rPr>
          <w:rFonts w:cs="Times New Roman"/>
          <w:lang w:val="en-US"/>
        </w:rPr>
        <w:t>(Cash et al. 2003</w:t>
      </w:r>
      <w:r w:rsidR="000B4A5C" w:rsidRPr="008173C7">
        <w:rPr>
          <w:rFonts w:cs="Times New Roman"/>
          <w:lang w:val="en-US"/>
        </w:rPr>
        <w:t>;</w:t>
      </w:r>
      <w:r w:rsidR="00C1264F" w:rsidRPr="008173C7">
        <w:rPr>
          <w:rFonts w:cs="Times New Roman"/>
          <w:lang w:val="en-US"/>
        </w:rPr>
        <w:t xml:space="preserve"> </w:t>
      </w:r>
      <w:r w:rsidR="00DA7E42" w:rsidRPr="00DA7E42">
        <w:rPr>
          <w:rFonts w:cs="Times New Roman"/>
          <w:lang w:val="en-US"/>
        </w:rPr>
        <w:t xml:space="preserve">Cozzens </w:t>
      </w:r>
      <w:r w:rsidR="00B44642">
        <w:rPr>
          <w:rFonts w:cs="Times New Roman"/>
          <w:lang w:val="en-US"/>
        </w:rPr>
        <w:t>and</w:t>
      </w:r>
      <w:r w:rsidR="00DA7E42" w:rsidRPr="00DA7E42">
        <w:rPr>
          <w:rFonts w:cs="Times New Roman"/>
          <w:lang w:val="en-US"/>
        </w:rPr>
        <w:t xml:space="preserve"> Snoek 2010</w:t>
      </w:r>
      <w:r w:rsidR="00DA7E42">
        <w:rPr>
          <w:rFonts w:cs="Times New Roman"/>
          <w:lang w:val="en-US"/>
        </w:rPr>
        <w:t>;</w:t>
      </w:r>
      <w:r w:rsidR="00DA7E42" w:rsidRPr="00DA7E42">
        <w:rPr>
          <w:rFonts w:cs="Times New Roman"/>
          <w:lang w:val="en-US"/>
        </w:rPr>
        <w:t xml:space="preserve"> Weiss 1980)</w:t>
      </w:r>
      <w:r w:rsidR="00EC1D9D" w:rsidRPr="008173C7">
        <w:rPr>
          <w:rFonts w:cs="Times New Roman"/>
          <w:lang w:val="en-US"/>
        </w:rPr>
        <w:t xml:space="preserve">. </w:t>
      </w:r>
      <w:r w:rsidR="00F860E8" w:rsidRPr="008173C7">
        <w:rPr>
          <w:rFonts w:cs="Times New Roman"/>
          <w:lang w:val="en-US"/>
        </w:rPr>
        <w:t xml:space="preserve">The flow of knowledge into policy depends on </w:t>
      </w:r>
      <w:r w:rsidR="000340DB" w:rsidRPr="008173C7">
        <w:rPr>
          <w:rFonts w:cs="Times New Roman"/>
          <w:lang w:val="en-US"/>
        </w:rPr>
        <w:t xml:space="preserve">the </w:t>
      </w:r>
      <w:r w:rsidR="00F860E8" w:rsidRPr="008173C7">
        <w:rPr>
          <w:rFonts w:cs="Times New Roman"/>
          <w:lang w:val="en-US"/>
        </w:rPr>
        <w:t xml:space="preserve">explicit efforts of various actors and </w:t>
      </w:r>
      <w:r w:rsidR="006751ED" w:rsidRPr="008173C7">
        <w:rPr>
          <w:rFonts w:cs="Times New Roman"/>
          <w:lang w:val="en-US"/>
        </w:rPr>
        <w:t xml:space="preserve">on </w:t>
      </w:r>
      <w:r w:rsidR="00F860E8" w:rsidRPr="008173C7">
        <w:rPr>
          <w:rFonts w:cs="Times New Roman"/>
          <w:lang w:val="en-US"/>
        </w:rPr>
        <w:t>existing power structures</w:t>
      </w:r>
      <w:r w:rsidR="00D3242F" w:rsidRPr="008173C7">
        <w:rPr>
          <w:rFonts w:cs="Times New Roman"/>
          <w:lang w:val="en-US"/>
        </w:rPr>
        <w:t xml:space="preserve">. </w:t>
      </w:r>
      <w:r w:rsidR="00637E12" w:rsidRPr="008173C7">
        <w:rPr>
          <w:rFonts w:cs="Times New Roman"/>
          <w:lang w:val="en-US"/>
        </w:rPr>
        <w:t>These models suggest that it</w:t>
      </w:r>
      <w:r w:rsidR="00BB55D2" w:rsidRPr="008173C7">
        <w:rPr>
          <w:rFonts w:cs="Times New Roman"/>
          <w:lang w:val="en-US"/>
        </w:rPr>
        <w:t xml:space="preserve"> is necessary to pay attention </w:t>
      </w:r>
      <w:r w:rsidR="0081780A" w:rsidRPr="008173C7">
        <w:rPr>
          <w:rFonts w:cs="Times New Roman"/>
          <w:lang w:val="en-US"/>
        </w:rPr>
        <w:t>to</w:t>
      </w:r>
      <w:r w:rsidR="00BB55D2" w:rsidRPr="008173C7">
        <w:rPr>
          <w:rFonts w:cs="Times New Roman"/>
          <w:lang w:val="en-US"/>
        </w:rPr>
        <w:t xml:space="preserve"> the whole process: the conditions in which the know</w:t>
      </w:r>
      <w:r w:rsidR="000B4A5C" w:rsidRPr="008173C7">
        <w:rPr>
          <w:rFonts w:cs="Times New Roman"/>
          <w:lang w:val="en-US"/>
        </w:rPr>
        <w:t>ledge is produced</w:t>
      </w:r>
      <w:r w:rsidR="003D6739" w:rsidRPr="008173C7">
        <w:rPr>
          <w:rFonts w:cs="Times New Roman"/>
          <w:lang w:val="en-US"/>
        </w:rPr>
        <w:t>, the contribution</w:t>
      </w:r>
      <w:r w:rsidR="000340DB" w:rsidRPr="008173C7">
        <w:rPr>
          <w:rFonts w:cs="Times New Roman"/>
          <w:lang w:val="en-US"/>
        </w:rPr>
        <w:t>s</w:t>
      </w:r>
      <w:r w:rsidR="00BB55D2" w:rsidRPr="008173C7">
        <w:rPr>
          <w:rFonts w:cs="Times New Roman"/>
          <w:lang w:val="en-US"/>
        </w:rPr>
        <w:t xml:space="preserve"> </w:t>
      </w:r>
      <w:r w:rsidR="00637E12" w:rsidRPr="008173C7">
        <w:rPr>
          <w:rFonts w:cs="Times New Roman"/>
          <w:lang w:val="en-US"/>
        </w:rPr>
        <w:t xml:space="preserve">made by </w:t>
      </w:r>
      <w:r w:rsidR="00BB55D2" w:rsidRPr="008173C7">
        <w:rPr>
          <w:rFonts w:cs="Times New Roman"/>
          <w:lang w:val="en-US"/>
        </w:rPr>
        <w:t xml:space="preserve">other </w:t>
      </w:r>
      <w:r w:rsidR="00071015" w:rsidRPr="008173C7">
        <w:rPr>
          <w:rFonts w:cs="Times New Roman"/>
          <w:lang w:val="en-US"/>
        </w:rPr>
        <w:t xml:space="preserve">actors and </w:t>
      </w:r>
      <w:r w:rsidR="00BB55D2" w:rsidRPr="008173C7">
        <w:rPr>
          <w:rFonts w:cs="Times New Roman"/>
          <w:lang w:val="en-US"/>
        </w:rPr>
        <w:t xml:space="preserve">sources of knowledge, the </w:t>
      </w:r>
      <w:r w:rsidR="00633D0A" w:rsidRPr="008173C7">
        <w:rPr>
          <w:rFonts w:cs="Times New Roman"/>
          <w:lang w:val="en-US"/>
        </w:rPr>
        <w:t xml:space="preserve">interactions between researchers and </w:t>
      </w:r>
      <w:r w:rsidR="003D6739" w:rsidRPr="008173C7">
        <w:rPr>
          <w:rFonts w:cs="Times New Roman"/>
          <w:lang w:val="en-US"/>
        </w:rPr>
        <w:t>end-</w:t>
      </w:r>
      <w:r w:rsidR="00633D0A" w:rsidRPr="008173C7">
        <w:rPr>
          <w:rFonts w:cs="Times New Roman"/>
          <w:lang w:val="en-US"/>
        </w:rPr>
        <w:t xml:space="preserve">users, </w:t>
      </w:r>
      <w:r w:rsidR="0081780A" w:rsidRPr="008173C7">
        <w:rPr>
          <w:rFonts w:cs="Times New Roman"/>
          <w:lang w:val="en-US"/>
        </w:rPr>
        <w:t xml:space="preserve">and the roles of </w:t>
      </w:r>
      <w:r w:rsidR="00633D0A" w:rsidRPr="008173C7">
        <w:rPr>
          <w:rFonts w:cs="Times New Roman"/>
          <w:lang w:val="en-US"/>
        </w:rPr>
        <w:t>intermediaries</w:t>
      </w:r>
      <w:r w:rsidR="00BB55D2" w:rsidRPr="008173C7">
        <w:rPr>
          <w:rFonts w:cs="Times New Roman"/>
          <w:lang w:val="en-US"/>
        </w:rPr>
        <w:t xml:space="preserve"> in circulating and </w:t>
      </w:r>
      <w:r w:rsidR="00815EE6" w:rsidRPr="008173C7">
        <w:rPr>
          <w:rFonts w:cs="Times New Roman"/>
          <w:lang w:val="en-US"/>
        </w:rPr>
        <w:t xml:space="preserve">mediating </w:t>
      </w:r>
      <w:r w:rsidR="00637E12" w:rsidRPr="008173C7">
        <w:rPr>
          <w:rFonts w:cs="Times New Roman"/>
          <w:lang w:val="en-US"/>
        </w:rPr>
        <w:t xml:space="preserve">the </w:t>
      </w:r>
      <w:r w:rsidR="00815EE6" w:rsidRPr="008173C7">
        <w:rPr>
          <w:rFonts w:cs="Times New Roman"/>
          <w:lang w:val="en-US"/>
        </w:rPr>
        <w:t>research results</w:t>
      </w:r>
      <w:r w:rsidR="004665E6" w:rsidRPr="008173C7">
        <w:rPr>
          <w:rFonts w:cs="Times New Roman"/>
          <w:lang w:val="en-US"/>
        </w:rPr>
        <w:t xml:space="preserve">. </w:t>
      </w:r>
    </w:p>
    <w:p w14:paraId="65F85D59" w14:textId="42B935E2" w:rsidR="00CF7A37" w:rsidRPr="008173C7" w:rsidRDefault="00071015" w:rsidP="000401BB">
      <w:pPr>
        <w:spacing w:line="480" w:lineRule="auto"/>
        <w:rPr>
          <w:rFonts w:cs="Times New Roman"/>
          <w:bCs/>
          <w:lang w:val="en-US"/>
        </w:rPr>
      </w:pPr>
      <w:r w:rsidRPr="008173C7">
        <w:rPr>
          <w:rFonts w:cs="Times New Roman"/>
          <w:lang w:val="en-US"/>
        </w:rPr>
        <w:t xml:space="preserve">A third development </w:t>
      </w:r>
      <w:r w:rsidR="000340DB" w:rsidRPr="008173C7">
        <w:rPr>
          <w:rFonts w:cs="Times New Roman"/>
          <w:lang w:val="en-US"/>
        </w:rPr>
        <w:t xml:space="preserve">considers </w:t>
      </w:r>
      <w:r w:rsidRPr="008173C7">
        <w:rPr>
          <w:rFonts w:cs="Times New Roman"/>
          <w:lang w:val="en-US"/>
        </w:rPr>
        <w:t>the use of knowledge by political stakeholders.</w:t>
      </w:r>
      <w:r w:rsidR="00EC30FB" w:rsidRPr="008173C7">
        <w:rPr>
          <w:rFonts w:cs="Times New Roman"/>
          <w:lang w:val="en-US"/>
        </w:rPr>
        <w:t xml:space="preserve"> </w:t>
      </w:r>
      <w:r w:rsidRPr="008173C7">
        <w:rPr>
          <w:rFonts w:cs="Times New Roman"/>
          <w:lang w:val="en-US"/>
        </w:rPr>
        <w:t xml:space="preserve">Empirical studies show that the </w:t>
      </w:r>
      <w:r w:rsidR="00637E12" w:rsidRPr="008173C7">
        <w:rPr>
          <w:rFonts w:cs="Times New Roman"/>
          <w:lang w:val="en-US"/>
        </w:rPr>
        <w:t>contribution of scientific k</w:t>
      </w:r>
      <w:r w:rsidR="00BF7D7E" w:rsidRPr="008173C7">
        <w:rPr>
          <w:rFonts w:cs="Times New Roman"/>
          <w:lang w:val="en-US"/>
        </w:rPr>
        <w:t xml:space="preserve">nowledge </w:t>
      </w:r>
      <w:r w:rsidR="00E474FF" w:rsidRPr="008173C7">
        <w:rPr>
          <w:rFonts w:cs="Times New Roman"/>
          <w:lang w:val="en-US"/>
        </w:rPr>
        <w:t>to</w:t>
      </w:r>
      <w:r w:rsidR="00BF7D7E" w:rsidRPr="008173C7">
        <w:rPr>
          <w:rFonts w:cs="Times New Roman"/>
          <w:lang w:val="en-US"/>
        </w:rPr>
        <w:t xml:space="preserve"> policy </w:t>
      </w:r>
      <w:r w:rsidR="00637E12" w:rsidRPr="008173C7">
        <w:rPr>
          <w:rFonts w:cs="Times New Roman"/>
          <w:lang w:val="en-US"/>
        </w:rPr>
        <w:t xml:space="preserve">is </w:t>
      </w:r>
      <w:r w:rsidR="006B0961" w:rsidRPr="008173C7">
        <w:rPr>
          <w:rFonts w:cs="Times New Roman"/>
          <w:lang w:val="en-US"/>
        </w:rPr>
        <w:t>seldom instru</w:t>
      </w:r>
      <w:r w:rsidR="00AD3095" w:rsidRPr="008173C7">
        <w:rPr>
          <w:rFonts w:cs="Times New Roman"/>
          <w:lang w:val="en-US"/>
        </w:rPr>
        <w:t>mental</w:t>
      </w:r>
      <w:r w:rsidR="00637E12" w:rsidRPr="008173C7">
        <w:rPr>
          <w:rFonts w:cs="Times New Roman"/>
          <w:lang w:val="en-US"/>
        </w:rPr>
        <w:t xml:space="preserve"> or </w:t>
      </w:r>
      <w:r w:rsidR="00AD3095" w:rsidRPr="008173C7">
        <w:rPr>
          <w:rFonts w:cs="Times New Roman"/>
          <w:lang w:val="en-US"/>
        </w:rPr>
        <w:t>clearly identifiable</w:t>
      </w:r>
      <w:r w:rsidR="00F84EC5" w:rsidRPr="008173C7">
        <w:rPr>
          <w:rFonts w:cs="Times New Roman"/>
          <w:lang w:val="en-US"/>
        </w:rPr>
        <w:t xml:space="preserve"> </w:t>
      </w:r>
      <w:r w:rsidR="00DA7E42" w:rsidRPr="00DA7E42">
        <w:rPr>
          <w:rFonts w:cs="Times New Roman"/>
          <w:szCs w:val="24"/>
          <w:lang w:val="en-US"/>
        </w:rPr>
        <w:t xml:space="preserve">(Almeida </w:t>
      </w:r>
      <w:r w:rsidR="00884C75">
        <w:rPr>
          <w:rFonts w:cs="Times New Roman"/>
          <w:szCs w:val="24"/>
          <w:lang w:val="en-US"/>
        </w:rPr>
        <w:t>and</w:t>
      </w:r>
      <w:r w:rsidR="00DA7E42" w:rsidRPr="00DA7E42">
        <w:rPr>
          <w:rFonts w:cs="Times New Roman"/>
          <w:szCs w:val="24"/>
          <w:lang w:val="en-US"/>
        </w:rPr>
        <w:t xml:space="preserve"> Báscolo 2006; Weiss 1980)</w:t>
      </w:r>
      <w:r w:rsidR="0081780A" w:rsidRPr="008173C7">
        <w:rPr>
          <w:rFonts w:cs="Times New Roman"/>
          <w:lang w:val="en-US"/>
        </w:rPr>
        <w:t>.</w:t>
      </w:r>
      <w:r w:rsidR="007339BD" w:rsidRPr="008173C7">
        <w:rPr>
          <w:rFonts w:cs="Times New Roman"/>
          <w:lang w:val="en-US"/>
        </w:rPr>
        <w:t xml:space="preserve"> </w:t>
      </w:r>
      <w:r w:rsidR="00637E12" w:rsidRPr="008173C7">
        <w:rPr>
          <w:rFonts w:cs="Times New Roman"/>
          <w:lang w:val="en-US"/>
        </w:rPr>
        <w:t>For example, k</w:t>
      </w:r>
      <w:r w:rsidR="00BE162F" w:rsidRPr="008173C7">
        <w:rPr>
          <w:rFonts w:cs="Times New Roman"/>
          <w:lang w:val="en-US"/>
        </w:rPr>
        <w:t xml:space="preserve">nowledge can </w:t>
      </w:r>
      <w:r w:rsidR="00637E12" w:rsidRPr="008173C7">
        <w:rPr>
          <w:rFonts w:cs="Times New Roman"/>
          <w:lang w:val="en-US"/>
        </w:rPr>
        <w:t xml:space="preserve">steer </w:t>
      </w:r>
      <w:r w:rsidR="00BE162F" w:rsidRPr="008173C7">
        <w:rPr>
          <w:rFonts w:cs="Times New Roman"/>
          <w:lang w:val="en-US"/>
        </w:rPr>
        <w:t>policy agenda</w:t>
      </w:r>
      <w:r w:rsidR="00637E12" w:rsidRPr="008173C7">
        <w:rPr>
          <w:rFonts w:cs="Times New Roman"/>
          <w:lang w:val="en-US"/>
        </w:rPr>
        <w:t>s</w:t>
      </w:r>
      <w:r w:rsidR="00BE162F" w:rsidRPr="008173C7">
        <w:rPr>
          <w:rFonts w:cs="Times New Roman"/>
          <w:lang w:val="en-US"/>
        </w:rPr>
        <w:t xml:space="preserve"> </w:t>
      </w:r>
      <w:r w:rsidR="00DA7E42" w:rsidRPr="00DA7E42">
        <w:rPr>
          <w:rFonts w:cs="Times New Roman"/>
          <w:lang w:val="en-US"/>
        </w:rPr>
        <w:t>(Kingdon 1995)</w:t>
      </w:r>
      <w:r w:rsidR="00BE162F" w:rsidRPr="008173C7">
        <w:rPr>
          <w:rFonts w:cs="Times New Roman"/>
          <w:lang w:val="en-US"/>
        </w:rPr>
        <w:t>, influen</w:t>
      </w:r>
      <w:r w:rsidR="00203206" w:rsidRPr="008173C7">
        <w:rPr>
          <w:rFonts w:cs="Times New Roman"/>
          <w:lang w:val="en-US"/>
        </w:rPr>
        <w:t xml:space="preserve">ce </w:t>
      </w:r>
      <w:r w:rsidR="001637C9" w:rsidRPr="008173C7">
        <w:rPr>
          <w:rFonts w:cs="Times New Roman"/>
          <w:lang w:val="en-US"/>
        </w:rPr>
        <w:t>the composition of the “</w:t>
      </w:r>
      <w:r w:rsidR="00203206" w:rsidRPr="008173C7">
        <w:rPr>
          <w:rFonts w:cs="Times New Roman"/>
          <w:lang w:val="en-US"/>
        </w:rPr>
        <w:t>issue networks</w:t>
      </w:r>
      <w:r w:rsidR="001637C9" w:rsidRPr="008173C7">
        <w:rPr>
          <w:rFonts w:cs="Times New Roman"/>
          <w:lang w:val="en-US"/>
        </w:rPr>
        <w:t xml:space="preserve">” </w:t>
      </w:r>
      <w:r w:rsidR="00637E12" w:rsidRPr="008173C7">
        <w:rPr>
          <w:rFonts w:cs="Times New Roman"/>
          <w:lang w:val="en-US"/>
        </w:rPr>
        <w:t xml:space="preserve">that </w:t>
      </w:r>
      <w:r w:rsidR="001637C9" w:rsidRPr="008173C7">
        <w:rPr>
          <w:rFonts w:cs="Times New Roman"/>
          <w:lang w:val="en-US"/>
        </w:rPr>
        <w:t>provoke and guide the exercise of power</w:t>
      </w:r>
      <w:r w:rsidR="00203206" w:rsidRPr="008173C7">
        <w:rPr>
          <w:rFonts w:cs="Times New Roman"/>
          <w:lang w:val="en-US"/>
        </w:rPr>
        <w:t xml:space="preserve"> </w:t>
      </w:r>
      <w:r w:rsidR="00DA7E42" w:rsidRPr="00DA7E42">
        <w:rPr>
          <w:rFonts w:cs="Times New Roman"/>
          <w:lang w:val="en-US"/>
        </w:rPr>
        <w:t>(Heclo 1978)</w:t>
      </w:r>
      <w:r w:rsidR="00203206" w:rsidRPr="008173C7">
        <w:rPr>
          <w:rFonts w:cs="Times New Roman"/>
          <w:lang w:val="en-US"/>
        </w:rPr>
        <w:t xml:space="preserve"> </w:t>
      </w:r>
      <w:r w:rsidR="00EC30FB" w:rsidRPr="008173C7">
        <w:rPr>
          <w:rFonts w:cs="Times New Roman"/>
          <w:lang w:val="en-US"/>
        </w:rPr>
        <w:t xml:space="preserve">or the </w:t>
      </w:r>
      <w:r w:rsidR="00203206" w:rsidRPr="008173C7">
        <w:rPr>
          <w:rFonts w:cs="Times New Roman"/>
          <w:lang w:val="en-US"/>
        </w:rPr>
        <w:t xml:space="preserve">strategic positions of actors </w:t>
      </w:r>
      <w:r w:rsidR="00884C75">
        <w:rPr>
          <w:rFonts w:cs="Times New Roman"/>
          <w:lang w:val="en-US"/>
        </w:rPr>
        <w:t>(Davies and</w:t>
      </w:r>
      <w:r w:rsidR="00DA7E42" w:rsidRPr="00DA7E42">
        <w:rPr>
          <w:rFonts w:cs="Times New Roman"/>
          <w:lang w:val="en-US"/>
        </w:rPr>
        <w:t xml:space="preserve"> Nutley 2008)</w:t>
      </w:r>
      <w:r w:rsidR="00203206" w:rsidRPr="008173C7">
        <w:rPr>
          <w:rFonts w:cs="Times New Roman"/>
          <w:lang w:val="en-US"/>
        </w:rPr>
        <w:t xml:space="preserve">, </w:t>
      </w:r>
      <w:r w:rsidR="00637E12" w:rsidRPr="008173C7">
        <w:rPr>
          <w:rFonts w:cs="Times New Roman"/>
          <w:lang w:val="en-US"/>
        </w:rPr>
        <w:t xml:space="preserve">and over time, </w:t>
      </w:r>
      <w:r w:rsidR="000340DB" w:rsidRPr="008173C7">
        <w:rPr>
          <w:rFonts w:cs="Times New Roman"/>
          <w:lang w:val="en-US"/>
        </w:rPr>
        <w:t xml:space="preserve">can </w:t>
      </w:r>
      <w:r w:rsidR="00203206" w:rsidRPr="008173C7">
        <w:rPr>
          <w:rFonts w:cs="Times New Roman"/>
          <w:lang w:val="en-US"/>
        </w:rPr>
        <w:t xml:space="preserve">infiltrate advocacy coalitions </w:t>
      </w:r>
      <w:r w:rsidR="00DA7E42" w:rsidRPr="00DA7E42">
        <w:rPr>
          <w:rFonts w:cs="Times New Roman"/>
          <w:lang w:val="en-US"/>
        </w:rPr>
        <w:t xml:space="preserve">(Sabatier </w:t>
      </w:r>
      <w:r w:rsidR="00884C75">
        <w:rPr>
          <w:rFonts w:cs="Times New Roman"/>
          <w:lang w:val="en-US"/>
        </w:rPr>
        <w:t>and</w:t>
      </w:r>
      <w:r w:rsidR="00DA7E42" w:rsidRPr="00DA7E42">
        <w:rPr>
          <w:rFonts w:cs="Times New Roman"/>
          <w:lang w:val="en-US"/>
        </w:rPr>
        <w:t xml:space="preserve"> Jenkins-Smith 1993)</w:t>
      </w:r>
      <w:r w:rsidR="00BE162F" w:rsidRPr="008173C7">
        <w:rPr>
          <w:rFonts w:cs="Times New Roman"/>
          <w:lang w:val="en-US"/>
        </w:rPr>
        <w:t xml:space="preserve">, change policy paradigms </w:t>
      </w:r>
      <w:r w:rsidR="00DA7E42" w:rsidRPr="00DA7E42">
        <w:rPr>
          <w:rFonts w:cs="Times New Roman"/>
          <w:lang w:val="en-US"/>
        </w:rPr>
        <w:t>(Weiss 1980)</w:t>
      </w:r>
      <w:r w:rsidR="00E474FF" w:rsidRPr="008173C7">
        <w:rPr>
          <w:rFonts w:cs="Times New Roman"/>
          <w:lang w:val="en-US"/>
        </w:rPr>
        <w:t>,</w:t>
      </w:r>
      <w:r w:rsidR="00BE162F" w:rsidRPr="008173C7">
        <w:rPr>
          <w:rFonts w:cs="Times New Roman"/>
          <w:lang w:val="en-US"/>
        </w:rPr>
        <w:t xml:space="preserve"> influence the terms of debate</w:t>
      </w:r>
      <w:r w:rsidR="00203206" w:rsidRPr="008173C7">
        <w:rPr>
          <w:rFonts w:cs="Times New Roman"/>
          <w:lang w:val="en-US"/>
        </w:rPr>
        <w:t xml:space="preserve"> </w:t>
      </w:r>
      <w:r w:rsidR="00DA7E42" w:rsidRPr="00DA7E42">
        <w:rPr>
          <w:rFonts w:cs="Times New Roman"/>
          <w:lang w:val="en-US"/>
        </w:rPr>
        <w:t xml:space="preserve">(Davies </w:t>
      </w:r>
      <w:r w:rsidR="00884C75">
        <w:rPr>
          <w:rFonts w:cs="Times New Roman"/>
          <w:lang w:val="en-US"/>
        </w:rPr>
        <w:t>and</w:t>
      </w:r>
      <w:r w:rsidR="00DA7E42" w:rsidRPr="00DA7E42">
        <w:rPr>
          <w:rFonts w:cs="Times New Roman"/>
          <w:lang w:val="en-US"/>
        </w:rPr>
        <w:t xml:space="preserve"> Nutley 2008)</w:t>
      </w:r>
      <w:r w:rsidR="00BE162F" w:rsidRPr="008173C7">
        <w:rPr>
          <w:rFonts w:cs="Times New Roman"/>
          <w:lang w:val="en-US"/>
        </w:rPr>
        <w:t>, affect belief within institutions</w:t>
      </w:r>
      <w:r w:rsidR="00203206" w:rsidRPr="008173C7">
        <w:rPr>
          <w:rFonts w:cs="Times New Roman"/>
          <w:lang w:val="en-US"/>
        </w:rPr>
        <w:t xml:space="preserve"> and networks </w:t>
      </w:r>
      <w:r w:rsidR="00DA7E42" w:rsidRPr="00DA7E42">
        <w:rPr>
          <w:rFonts w:cs="Times New Roman"/>
          <w:lang w:val="en-US"/>
        </w:rPr>
        <w:t xml:space="preserve">(Davies </w:t>
      </w:r>
      <w:r w:rsidR="00884C75">
        <w:rPr>
          <w:rFonts w:cs="Times New Roman"/>
          <w:lang w:val="en-US"/>
        </w:rPr>
        <w:t>and</w:t>
      </w:r>
      <w:r w:rsidR="00DA7E42" w:rsidRPr="00DA7E42">
        <w:rPr>
          <w:rFonts w:cs="Times New Roman"/>
          <w:lang w:val="en-US"/>
        </w:rPr>
        <w:t xml:space="preserve"> Nutley 2008; Radaelli 1995)</w:t>
      </w:r>
      <w:r w:rsidR="00E474FF" w:rsidRPr="008173C7">
        <w:rPr>
          <w:rFonts w:cs="Times New Roman"/>
          <w:lang w:val="en-US"/>
        </w:rPr>
        <w:t>,</w:t>
      </w:r>
      <w:r w:rsidR="00203206" w:rsidRPr="008173C7">
        <w:rPr>
          <w:rFonts w:cs="Times New Roman"/>
          <w:lang w:val="en-US"/>
        </w:rPr>
        <w:t xml:space="preserve"> </w:t>
      </w:r>
      <w:r w:rsidR="00637E12" w:rsidRPr="008173C7">
        <w:rPr>
          <w:rFonts w:cs="Times New Roman"/>
          <w:lang w:val="en-US"/>
        </w:rPr>
        <w:t xml:space="preserve">and </w:t>
      </w:r>
      <w:r w:rsidR="00203206" w:rsidRPr="008173C7">
        <w:rPr>
          <w:rFonts w:cs="Times New Roman"/>
          <w:lang w:val="en-US"/>
        </w:rPr>
        <w:t xml:space="preserve">change people’s knowledge, understanding and attitudes </w:t>
      </w:r>
      <w:r w:rsidR="00DA7E42" w:rsidRPr="00DA7E42">
        <w:rPr>
          <w:rFonts w:cs="Times New Roman"/>
          <w:lang w:val="en-US"/>
        </w:rPr>
        <w:t xml:space="preserve">(Davies </w:t>
      </w:r>
      <w:r w:rsidR="00884C75">
        <w:rPr>
          <w:rFonts w:cs="Times New Roman"/>
          <w:lang w:val="en-US"/>
        </w:rPr>
        <w:t>and</w:t>
      </w:r>
      <w:r w:rsidR="00DA7E42" w:rsidRPr="00DA7E42">
        <w:rPr>
          <w:rFonts w:cs="Times New Roman"/>
          <w:lang w:val="en-US"/>
        </w:rPr>
        <w:t xml:space="preserve"> Nutley 2008)</w:t>
      </w:r>
      <w:r w:rsidR="00203206" w:rsidRPr="008173C7">
        <w:rPr>
          <w:rFonts w:cs="Times New Roman"/>
          <w:lang w:val="en-US"/>
        </w:rPr>
        <w:t>.</w:t>
      </w:r>
      <w:r w:rsidR="005E64AF" w:rsidRPr="008173C7">
        <w:rPr>
          <w:rFonts w:cs="Times New Roman"/>
          <w:lang w:val="en-US"/>
        </w:rPr>
        <w:t xml:space="preserve"> </w:t>
      </w:r>
      <w:r w:rsidR="00DA7E42" w:rsidRPr="00DA7E42">
        <w:rPr>
          <w:rFonts w:cs="Times New Roman"/>
          <w:lang w:val="en-US"/>
        </w:rPr>
        <w:t xml:space="preserve">Weiss </w:t>
      </w:r>
      <w:r w:rsidR="00DA7E42">
        <w:rPr>
          <w:rFonts w:cs="Times New Roman"/>
          <w:lang w:val="en-US"/>
        </w:rPr>
        <w:t>(</w:t>
      </w:r>
      <w:r w:rsidR="00DA7E42" w:rsidRPr="00DA7E42">
        <w:rPr>
          <w:rFonts w:cs="Times New Roman"/>
          <w:lang w:val="en-US"/>
        </w:rPr>
        <w:t>1979)</w:t>
      </w:r>
      <w:r w:rsidR="00B86C3B" w:rsidRPr="008173C7">
        <w:rPr>
          <w:rFonts w:cs="Times New Roman"/>
          <w:lang w:val="en-US"/>
        </w:rPr>
        <w:t xml:space="preserve"> </w:t>
      </w:r>
      <w:r w:rsidR="00CA5254" w:rsidRPr="008173C7">
        <w:rPr>
          <w:rFonts w:cs="Times New Roman"/>
          <w:lang w:val="en-US"/>
        </w:rPr>
        <w:t>identifie</w:t>
      </w:r>
      <w:r w:rsidR="00637E12" w:rsidRPr="008173C7">
        <w:rPr>
          <w:rFonts w:cs="Times New Roman"/>
          <w:lang w:val="en-US"/>
        </w:rPr>
        <w:t>s</w:t>
      </w:r>
      <w:r w:rsidR="00CA5254" w:rsidRPr="008173C7">
        <w:rPr>
          <w:rFonts w:cs="Times New Roman"/>
          <w:lang w:val="en-US"/>
        </w:rPr>
        <w:t xml:space="preserve"> seven </w:t>
      </w:r>
      <w:r w:rsidR="00594617" w:rsidRPr="008173C7">
        <w:rPr>
          <w:rFonts w:cs="Times New Roman"/>
          <w:lang w:val="en-US"/>
        </w:rPr>
        <w:t xml:space="preserve">paths </w:t>
      </w:r>
      <w:r w:rsidR="000340DB" w:rsidRPr="008173C7">
        <w:rPr>
          <w:rFonts w:cs="Times New Roman"/>
          <w:lang w:val="en-US"/>
        </w:rPr>
        <w:t xml:space="preserve">to the use of </w:t>
      </w:r>
      <w:r w:rsidR="00CA5254" w:rsidRPr="008173C7">
        <w:rPr>
          <w:rFonts w:cs="Times New Roman"/>
          <w:lang w:val="en-US"/>
        </w:rPr>
        <w:t xml:space="preserve">research </w:t>
      </w:r>
      <w:r w:rsidR="00BE162F" w:rsidRPr="008173C7">
        <w:rPr>
          <w:rFonts w:cs="Times New Roman"/>
          <w:lang w:val="en-US"/>
        </w:rPr>
        <w:t>in policy</w:t>
      </w:r>
      <w:r w:rsidR="00594617" w:rsidRPr="008173C7">
        <w:rPr>
          <w:rFonts w:cs="Times New Roman"/>
          <w:lang w:val="en-US"/>
        </w:rPr>
        <w:t>. T</w:t>
      </w:r>
      <w:r w:rsidR="000340DB" w:rsidRPr="008173C7">
        <w:rPr>
          <w:rFonts w:cs="Times New Roman"/>
          <w:lang w:val="en-US"/>
        </w:rPr>
        <w:t xml:space="preserve">hese paths have been clustered into </w:t>
      </w:r>
      <w:r w:rsidR="00637E12" w:rsidRPr="008173C7">
        <w:rPr>
          <w:rFonts w:cs="Times New Roman"/>
          <w:lang w:val="en-US"/>
        </w:rPr>
        <w:t xml:space="preserve">under </w:t>
      </w:r>
      <w:r w:rsidR="00CA5254" w:rsidRPr="008173C7">
        <w:rPr>
          <w:rFonts w:cs="Times New Roman"/>
          <w:lang w:val="en-US"/>
        </w:rPr>
        <w:t xml:space="preserve">three </w:t>
      </w:r>
      <w:r w:rsidR="00EC30FB" w:rsidRPr="008173C7">
        <w:rPr>
          <w:rFonts w:cs="Times New Roman"/>
          <w:lang w:val="en-US"/>
        </w:rPr>
        <w:t xml:space="preserve">large </w:t>
      </w:r>
      <w:r w:rsidR="00CA5254" w:rsidRPr="008173C7">
        <w:rPr>
          <w:rFonts w:cs="Times New Roman"/>
          <w:lang w:val="en-US"/>
        </w:rPr>
        <w:t>categories</w:t>
      </w:r>
      <w:r w:rsidR="000F7868" w:rsidRPr="008173C7">
        <w:rPr>
          <w:rFonts w:cs="Times New Roman"/>
          <w:lang w:val="en-US"/>
        </w:rPr>
        <w:t xml:space="preserve"> </w:t>
      </w:r>
      <w:r w:rsidR="00884C75">
        <w:rPr>
          <w:rFonts w:cs="Times New Roman"/>
          <w:szCs w:val="24"/>
          <w:lang w:val="en-US"/>
        </w:rPr>
        <w:t xml:space="preserve">(Almeida and </w:t>
      </w:r>
      <w:r w:rsidR="00DA7E42" w:rsidRPr="00DA7E42">
        <w:rPr>
          <w:rFonts w:cs="Times New Roman"/>
          <w:szCs w:val="24"/>
          <w:lang w:val="en-US"/>
        </w:rPr>
        <w:t>Báscolo 2006; Trostle et al. 1999)</w:t>
      </w:r>
      <w:r w:rsidR="00CA5254" w:rsidRPr="008173C7">
        <w:rPr>
          <w:rFonts w:cs="Times New Roman"/>
          <w:lang w:val="en-US"/>
        </w:rPr>
        <w:t>:</w:t>
      </w:r>
      <w:r w:rsidR="00E474FF" w:rsidRPr="008173C7">
        <w:rPr>
          <w:rFonts w:cs="Times New Roman"/>
          <w:lang w:val="en-US"/>
        </w:rPr>
        <w:t xml:space="preserve"> r</w:t>
      </w:r>
      <w:r w:rsidR="00CA5254" w:rsidRPr="008173C7">
        <w:rPr>
          <w:rFonts w:cs="Times New Roman"/>
          <w:lang w:val="en-US"/>
        </w:rPr>
        <w:t xml:space="preserve">ational and instrumental use of </w:t>
      </w:r>
      <w:r w:rsidR="00E52A31" w:rsidRPr="008173C7">
        <w:rPr>
          <w:rFonts w:cs="Times New Roman"/>
          <w:lang w:val="en-US"/>
        </w:rPr>
        <w:t>knowledge</w:t>
      </w:r>
      <w:r w:rsidR="00CA5254" w:rsidRPr="008173C7">
        <w:rPr>
          <w:rFonts w:cs="Times New Roman"/>
          <w:lang w:val="en-US"/>
        </w:rPr>
        <w:t xml:space="preserve"> to formulate poli</w:t>
      </w:r>
      <w:r w:rsidR="00E474FF" w:rsidRPr="008173C7">
        <w:rPr>
          <w:rFonts w:cs="Times New Roman"/>
          <w:lang w:val="en-US"/>
        </w:rPr>
        <w:t>cies or support decision-making</w:t>
      </w:r>
      <w:r w:rsidR="0060766B" w:rsidRPr="008173C7">
        <w:rPr>
          <w:rFonts w:cs="Times New Roman"/>
          <w:lang w:val="en-US"/>
        </w:rPr>
        <w:t>;</w:t>
      </w:r>
      <w:r w:rsidR="00E474FF" w:rsidRPr="008173C7">
        <w:rPr>
          <w:rFonts w:cs="Times New Roman"/>
          <w:lang w:val="en-US"/>
        </w:rPr>
        <w:t xml:space="preserve"> s</w:t>
      </w:r>
      <w:r w:rsidR="00CA5254" w:rsidRPr="008173C7">
        <w:rPr>
          <w:rFonts w:cs="Times New Roman"/>
          <w:lang w:val="en-US"/>
        </w:rPr>
        <w:t xml:space="preserve">trategic use of </w:t>
      </w:r>
      <w:r w:rsidR="00E52A31" w:rsidRPr="008173C7">
        <w:rPr>
          <w:rFonts w:cs="Times New Roman"/>
          <w:lang w:val="en-US"/>
        </w:rPr>
        <w:t>knowledge</w:t>
      </w:r>
      <w:r w:rsidR="00CA5254" w:rsidRPr="008173C7">
        <w:rPr>
          <w:rFonts w:cs="Times New Roman"/>
          <w:lang w:val="en-US"/>
        </w:rPr>
        <w:t xml:space="preserve"> to </w:t>
      </w:r>
      <w:r w:rsidR="00B55DA8" w:rsidRPr="008173C7">
        <w:rPr>
          <w:rFonts w:cs="Times New Roman"/>
          <w:lang w:val="en-US"/>
        </w:rPr>
        <w:t>strengthen or weaken actors’ positions</w:t>
      </w:r>
      <w:r w:rsidR="0060766B" w:rsidRPr="008173C7">
        <w:rPr>
          <w:rFonts w:cs="Times New Roman"/>
          <w:lang w:val="en-US"/>
        </w:rPr>
        <w:t>;</w:t>
      </w:r>
      <w:r w:rsidR="000340DB" w:rsidRPr="008173C7">
        <w:rPr>
          <w:rFonts w:cs="Times New Roman"/>
          <w:lang w:val="en-US"/>
        </w:rPr>
        <w:t xml:space="preserve"> and</w:t>
      </w:r>
      <w:r w:rsidR="00E474FF" w:rsidRPr="008173C7">
        <w:rPr>
          <w:rFonts w:cs="Times New Roman"/>
          <w:lang w:val="en-US"/>
        </w:rPr>
        <w:t xml:space="preserve"> c</w:t>
      </w:r>
      <w:r w:rsidR="00E52A31" w:rsidRPr="008173C7">
        <w:rPr>
          <w:rFonts w:cs="Times New Roman"/>
          <w:lang w:val="en-US"/>
        </w:rPr>
        <w:t xml:space="preserve">onceptual use of knowledge to </w:t>
      </w:r>
      <w:r w:rsidR="00A0568E" w:rsidRPr="008173C7">
        <w:rPr>
          <w:rFonts w:cs="Times New Roman"/>
          <w:lang w:val="en-US"/>
        </w:rPr>
        <w:t xml:space="preserve">enable </w:t>
      </w:r>
      <w:r w:rsidR="000340DB" w:rsidRPr="008173C7">
        <w:rPr>
          <w:rFonts w:cs="Times New Roman"/>
          <w:lang w:val="en-US"/>
        </w:rPr>
        <w:t xml:space="preserve">a </w:t>
      </w:r>
      <w:r w:rsidR="00A0568E" w:rsidRPr="008173C7">
        <w:rPr>
          <w:rFonts w:cs="Times New Roman"/>
          <w:lang w:val="en-US"/>
        </w:rPr>
        <w:t xml:space="preserve">deeper </w:t>
      </w:r>
      <w:r w:rsidR="00E52A31" w:rsidRPr="008173C7">
        <w:rPr>
          <w:rFonts w:cs="Times New Roman"/>
          <w:lang w:val="en-US"/>
        </w:rPr>
        <w:t>understanding of</w:t>
      </w:r>
      <w:r w:rsidR="00E474FF" w:rsidRPr="008173C7">
        <w:rPr>
          <w:rFonts w:cs="Times New Roman"/>
          <w:lang w:val="en-US"/>
        </w:rPr>
        <w:t xml:space="preserve"> issues </w:t>
      </w:r>
      <w:r w:rsidR="00A0568E" w:rsidRPr="008173C7">
        <w:rPr>
          <w:rFonts w:cs="Times New Roman"/>
          <w:lang w:val="en-US"/>
        </w:rPr>
        <w:t xml:space="preserve">and </w:t>
      </w:r>
      <w:r w:rsidR="00E474FF" w:rsidRPr="008173C7">
        <w:rPr>
          <w:rFonts w:cs="Times New Roman"/>
          <w:lang w:val="en-US"/>
        </w:rPr>
        <w:t>policies</w:t>
      </w:r>
      <w:r w:rsidR="00A84065" w:rsidRPr="008173C7">
        <w:rPr>
          <w:rFonts w:cs="Times New Roman"/>
          <w:lang w:val="en-US"/>
        </w:rPr>
        <w:t xml:space="preserve">. </w:t>
      </w:r>
      <w:r w:rsidR="00CF7A37" w:rsidRPr="008173C7">
        <w:rPr>
          <w:rFonts w:cs="Times New Roman"/>
          <w:bCs/>
          <w:lang w:val="en-US"/>
        </w:rPr>
        <w:t xml:space="preserve">According to </w:t>
      </w:r>
      <w:r w:rsidR="00DA7E42" w:rsidRPr="00DA7E42">
        <w:rPr>
          <w:rFonts w:cs="Times New Roman"/>
          <w:lang w:val="en-US"/>
        </w:rPr>
        <w:t xml:space="preserve">Greenhalgh et al. </w:t>
      </w:r>
      <w:r w:rsidR="00DA7E42">
        <w:rPr>
          <w:rFonts w:cs="Times New Roman"/>
          <w:lang w:val="en-US"/>
        </w:rPr>
        <w:t>(</w:t>
      </w:r>
      <w:r w:rsidR="00DA7E42" w:rsidRPr="00DA7E42">
        <w:rPr>
          <w:rFonts w:cs="Times New Roman"/>
          <w:lang w:val="en-US"/>
        </w:rPr>
        <w:t>2016)</w:t>
      </w:r>
      <w:r w:rsidR="00CF7A37" w:rsidRPr="008173C7">
        <w:rPr>
          <w:rFonts w:cs="Times New Roman"/>
          <w:bCs/>
          <w:lang w:val="en-US"/>
        </w:rPr>
        <w:t xml:space="preserve"> citing the results of</w:t>
      </w:r>
      <w:r w:rsidR="00AE4EB8" w:rsidRPr="008173C7">
        <w:rPr>
          <w:rFonts w:cs="Times New Roman"/>
          <w:bCs/>
          <w:lang w:val="en-US"/>
        </w:rPr>
        <w:t xml:space="preserve"> </w:t>
      </w:r>
      <w:r w:rsidR="00DA7E42" w:rsidRPr="00DA7E42">
        <w:rPr>
          <w:rFonts w:cs="Times New Roman"/>
          <w:lang w:val="en-US"/>
        </w:rPr>
        <w:t xml:space="preserve">Amara et al. </w:t>
      </w:r>
      <w:r w:rsidR="00DA7E42">
        <w:rPr>
          <w:rFonts w:cs="Times New Roman"/>
          <w:lang w:val="en-US"/>
        </w:rPr>
        <w:t>(</w:t>
      </w:r>
      <w:r w:rsidR="00DA7E42" w:rsidRPr="00DA7E42">
        <w:rPr>
          <w:rFonts w:cs="Times New Roman"/>
          <w:lang w:val="en-US"/>
        </w:rPr>
        <w:t>2004)</w:t>
      </w:r>
      <w:r w:rsidR="000340DB" w:rsidRPr="008173C7">
        <w:rPr>
          <w:rFonts w:cs="Times New Roman"/>
          <w:bCs/>
          <w:lang w:val="en-US"/>
        </w:rPr>
        <w:t>,</w:t>
      </w:r>
      <w:r w:rsidR="00CF7A37" w:rsidRPr="008173C7">
        <w:rPr>
          <w:rFonts w:cs="Times New Roman"/>
          <w:bCs/>
          <w:lang w:val="en-US"/>
        </w:rPr>
        <w:t xml:space="preserve"> research evidence is more often used conceptually (for general enlightenment) or strategically (to justify a chosen course of action) than instrumentally (to feed a particular policy decision). This is because research </w:t>
      </w:r>
      <w:r w:rsidR="000340DB" w:rsidRPr="008173C7">
        <w:rPr>
          <w:rFonts w:cs="Times New Roman"/>
          <w:bCs/>
          <w:lang w:val="en-US"/>
        </w:rPr>
        <w:t xml:space="preserve">is </w:t>
      </w:r>
      <w:r w:rsidR="00CF7A37" w:rsidRPr="008173C7">
        <w:rPr>
          <w:rFonts w:cs="Times New Roman"/>
          <w:bCs/>
          <w:lang w:val="en-US"/>
        </w:rPr>
        <w:t xml:space="preserve">more </w:t>
      </w:r>
      <w:r w:rsidR="000340DB" w:rsidRPr="008173C7">
        <w:rPr>
          <w:rFonts w:cs="Times New Roman"/>
          <w:bCs/>
          <w:lang w:val="en-US"/>
        </w:rPr>
        <w:t xml:space="preserve">likely to reveal </w:t>
      </w:r>
      <w:r w:rsidR="00CF7A37" w:rsidRPr="008173C7">
        <w:rPr>
          <w:rFonts w:cs="Times New Roman"/>
          <w:bCs/>
          <w:lang w:val="en-US"/>
        </w:rPr>
        <w:t xml:space="preserve">the complexity of a phenomenon than </w:t>
      </w:r>
      <w:r w:rsidR="000340DB" w:rsidRPr="008173C7">
        <w:rPr>
          <w:rFonts w:cs="Times New Roman"/>
          <w:bCs/>
          <w:lang w:val="en-US"/>
        </w:rPr>
        <w:t xml:space="preserve">to </w:t>
      </w:r>
      <w:r w:rsidR="00CF7A37" w:rsidRPr="008173C7">
        <w:rPr>
          <w:rFonts w:cs="Times New Roman"/>
          <w:bCs/>
          <w:lang w:val="en-US"/>
        </w:rPr>
        <w:t>pro</w:t>
      </w:r>
      <w:r w:rsidR="000340DB" w:rsidRPr="008173C7">
        <w:rPr>
          <w:rFonts w:cs="Times New Roman"/>
          <w:bCs/>
          <w:lang w:val="en-US"/>
        </w:rPr>
        <w:t xml:space="preserve">vide </w:t>
      </w:r>
      <w:r w:rsidR="00CF7A37" w:rsidRPr="008173C7">
        <w:rPr>
          <w:rFonts w:cs="Times New Roman"/>
          <w:bCs/>
          <w:lang w:val="en-US"/>
        </w:rPr>
        <w:t xml:space="preserve">a simple solution that can be </w:t>
      </w:r>
      <w:r w:rsidR="000340DB" w:rsidRPr="008173C7">
        <w:rPr>
          <w:rFonts w:cs="Times New Roman"/>
          <w:bCs/>
          <w:lang w:val="en-US"/>
        </w:rPr>
        <w:t xml:space="preserve">fed </w:t>
      </w:r>
      <w:r w:rsidR="00CF7A37" w:rsidRPr="008173C7">
        <w:rPr>
          <w:rFonts w:cs="Times New Roman"/>
          <w:bCs/>
          <w:lang w:val="en-US"/>
        </w:rPr>
        <w:t xml:space="preserve">directly into policy. </w:t>
      </w:r>
    </w:p>
    <w:p w14:paraId="61D1C8F3" w14:textId="5B1B6D38" w:rsidR="008F1D94" w:rsidRPr="008173C7" w:rsidRDefault="008F1D94" w:rsidP="008F1D94">
      <w:pPr>
        <w:spacing w:line="480" w:lineRule="auto"/>
        <w:rPr>
          <w:rFonts w:cs="Times New Roman"/>
          <w:bCs/>
          <w:lang w:val="en-US"/>
        </w:rPr>
      </w:pPr>
      <w:r w:rsidRPr="008173C7">
        <w:rPr>
          <w:rFonts w:cs="Times New Roman"/>
          <w:bCs/>
          <w:lang w:val="en-US"/>
        </w:rPr>
        <w:t xml:space="preserve">Despite the multiple conceptual frameworks proposed in the literature, recent reviews highlight that the practical frameworks used for impact evaluation usually </w:t>
      </w:r>
      <w:r w:rsidR="005713E3" w:rsidRPr="008173C7">
        <w:rPr>
          <w:rFonts w:cs="Times New Roman"/>
          <w:bCs/>
          <w:lang w:val="en-US"/>
        </w:rPr>
        <w:t xml:space="preserve">do not </w:t>
      </w:r>
      <w:r w:rsidRPr="008173C7">
        <w:rPr>
          <w:rFonts w:cs="Times New Roman"/>
          <w:bCs/>
          <w:lang w:val="en-US"/>
        </w:rPr>
        <w:t>rely on rich analysis of the policy processes</w:t>
      </w:r>
      <w:r w:rsidR="005713E3" w:rsidRPr="008173C7">
        <w:rPr>
          <w:rFonts w:cs="Times New Roman"/>
          <w:bCs/>
          <w:lang w:val="en-US"/>
        </w:rPr>
        <w:t xml:space="preserve"> related to</w:t>
      </w:r>
      <w:r w:rsidRPr="008173C7">
        <w:rPr>
          <w:rFonts w:cs="Times New Roman"/>
          <w:bCs/>
          <w:lang w:val="en-US"/>
        </w:rPr>
        <w:t xml:space="preserve"> the three developments reported above; </w:t>
      </w:r>
      <w:r w:rsidR="005713E3" w:rsidRPr="008173C7">
        <w:rPr>
          <w:rFonts w:cs="Times New Roman"/>
          <w:bCs/>
          <w:lang w:val="en-US"/>
        </w:rPr>
        <w:t xml:space="preserve">With the exception of a few cases in </w:t>
      </w:r>
      <w:r w:rsidRPr="008173C7">
        <w:rPr>
          <w:rFonts w:cs="Times New Roman"/>
          <w:bCs/>
          <w:lang w:val="en-US"/>
        </w:rPr>
        <w:t xml:space="preserve">the areas of health and international development (Boaz et al. 2009), </w:t>
      </w:r>
      <w:r w:rsidR="005713E3" w:rsidRPr="008173C7">
        <w:rPr>
          <w:rFonts w:cs="Times New Roman"/>
          <w:bCs/>
          <w:lang w:val="en-US"/>
        </w:rPr>
        <w:t xml:space="preserve">the frameworks in the literature </w:t>
      </w:r>
      <w:r w:rsidRPr="008173C7">
        <w:rPr>
          <w:rFonts w:cs="Times New Roman"/>
          <w:bCs/>
          <w:lang w:val="en-US"/>
        </w:rPr>
        <w:t>fail to explore the diversity of the possible contribution</w:t>
      </w:r>
      <w:r w:rsidR="005713E3" w:rsidRPr="008173C7">
        <w:rPr>
          <w:rFonts w:cs="Times New Roman"/>
          <w:bCs/>
          <w:lang w:val="en-US"/>
        </w:rPr>
        <w:t xml:space="preserve"> made by</w:t>
      </w:r>
      <w:r w:rsidRPr="008173C7">
        <w:rPr>
          <w:rFonts w:cs="Times New Roman"/>
          <w:bCs/>
          <w:lang w:val="en-US"/>
        </w:rPr>
        <w:t xml:space="preserve"> research knowledge to policy-making, and </w:t>
      </w:r>
      <w:r w:rsidR="005713E3" w:rsidRPr="008173C7">
        <w:rPr>
          <w:rFonts w:cs="Times New Roman"/>
          <w:bCs/>
          <w:lang w:val="en-US"/>
        </w:rPr>
        <w:t xml:space="preserve">instead </w:t>
      </w:r>
      <w:r w:rsidRPr="008173C7">
        <w:rPr>
          <w:rFonts w:cs="Times New Roman"/>
          <w:bCs/>
          <w:lang w:val="en-US"/>
        </w:rPr>
        <w:t>pay excessive attention to short term instrumental impact</w:t>
      </w:r>
      <w:r w:rsidR="005713E3" w:rsidRPr="008173C7">
        <w:rPr>
          <w:rFonts w:cs="Times New Roman"/>
          <w:bCs/>
          <w:lang w:val="en-US"/>
        </w:rPr>
        <w:t>s on policy</w:t>
      </w:r>
      <w:r w:rsidRPr="008173C7">
        <w:rPr>
          <w:rFonts w:cs="Times New Roman"/>
          <w:bCs/>
          <w:lang w:val="en-US"/>
        </w:rPr>
        <w:t xml:space="preserve"> </w:t>
      </w:r>
      <w:r w:rsidR="0016494E">
        <w:rPr>
          <w:rFonts w:cs="Times New Roman"/>
          <w:szCs w:val="24"/>
          <w:lang w:val="en-US"/>
        </w:rPr>
        <w:t>(Almeida and</w:t>
      </w:r>
      <w:r w:rsidR="00DA7E42" w:rsidRPr="00DA7E42">
        <w:rPr>
          <w:rFonts w:cs="Times New Roman"/>
          <w:szCs w:val="24"/>
          <w:lang w:val="en-US"/>
        </w:rPr>
        <w:t xml:space="preserve"> Báscolo 2006; Boaz et al. 2009; Tsui et al. 2014)</w:t>
      </w:r>
      <w:r w:rsidRPr="008173C7">
        <w:rPr>
          <w:rFonts w:cs="Times New Roman"/>
          <w:bCs/>
          <w:lang w:val="en-US"/>
        </w:rPr>
        <w:t xml:space="preserve">. </w:t>
      </w:r>
      <w:r w:rsidR="0060766B" w:rsidRPr="008173C7">
        <w:rPr>
          <w:rFonts w:cs="Times New Roman"/>
          <w:bCs/>
          <w:lang w:val="en-US"/>
        </w:rPr>
        <w:t>A r</w:t>
      </w:r>
      <w:r w:rsidRPr="008173C7">
        <w:rPr>
          <w:rFonts w:cs="Times New Roman"/>
          <w:bCs/>
          <w:lang w:val="en-US"/>
        </w:rPr>
        <w:t xml:space="preserve">ecent </w:t>
      </w:r>
      <w:r w:rsidR="005713E3" w:rsidRPr="008173C7">
        <w:rPr>
          <w:rFonts w:cs="Times New Roman"/>
          <w:bCs/>
          <w:lang w:val="en-US"/>
        </w:rPr>
        <w:t>literature review</w:t>
      </w:r>
      <w:r w:rsidR="00E308A7" w:rsidRPr="008173C7">
        <w:rPr>
          <w:rFonts w:cs="Times New Roman"/>
          <w:bCs/>
          <w:lang w:val="en-US"/>
        </w:rPr>
        <w:t xml:space="preserve"> </w:t>
      </w:r>
      <w:r w:rsidR="00DA7E42" w:rsidRPr="00DA7E42">
        <w:rPr>
          <w:rFonts w:cs="Times New Roman"/>
          <w:lang w:val="en-US"/>
        </w:rPr>
        <w:t>(Greenhalgh et al. 2016)</w:t>
      </w:r>
      <w:r w:rsidRPr="008173C7">
        <w:rPr>
          <w:rFonts w:cs="Times New Roman"/>
          <w:bCs/>
          <w:lang w:val="en-US"/>
        </w:rPr>
        <w:t xml:space="preserve"> </w:t>
      </w:r>
      <w:r w:rsidR="005713E3" w:rsidRPr="008173C7">
        <w:rPr>
          <w:rFonts w:cs="Times New Roman"/>
          <w:bCs/>
          <w:lang w:val="en-US"/>
        </w:rPr>
        <w:t>shows that very few o</w:t>
      </w:r>
      <w:r w:rsidRPr="008173C7">
        <w:rPr>
          <w:rFonts w:cs="Times New Roman"/>
          <w:bCs/>
          <w:lang w:val="en-US"/>
        </w:rPr>
        <w:t>f these frameworks have be</w:t>
      </w:r>
      <w:r w:rsidR="005713E3" w:rsidRPr="008173C7">
        <w:rPr>
          <w:rFonts w:cs="Times New Roman"/>
          <w:bCs/>
          <w:lang w:val="en-US"/>
        </w:rPr>
        <w:t>en</w:t>
      </w:r>
      <w:r w:rsidRPr="008173C7">
        <w:rPr>
          <w:rFonts w:cs="Times New Roman"/>
          <w:bCs/>
          <w:lang w:val="en-US"/>
        </w:rPr>
        <w:t xml:space="preserve"> widely used. </w:t>
      </w:r>
      <w:r w:rsidR="005713E3" w:rsidRPr="008173C7">
        <w:rPr>
          <w:rFonts w:cs="Times New Roman"/>
          <w:bCs/>
          <w:lang w:val="en-US"/>
        </w:rPr>
        <w:t>Also, they</w:t>
      </w:r>
      <w:r w:rsidRPr="008173C7">
        <w:rPr>
          <w:rFonts w:cs="Times New Roman"/>
          <w:bCs/>
          <w:lang w:val="en-US"/>
        </w:rPr>
        <w:t xml:space="preserve"> do not</w:t>
      </w:r>
      <w:r w:rsidR="005713E3" w:rsidRPr="008173C7">
        <w:rPr>
          <w:rFonts w:cs="Times New Roman"/>
          <w:bCs/>
          <w:lang w:val="en-US"/>
        </w:rPr>
        <w:t xml:space="preserve"> allow routine comparison of</w:t>
      </w:r>
      <w:r w:rsidRPr="008173C7">
        <w:rPr>
          <w:rFonts w:cs="Times New Roman"/>
          <w:bCs/>
          <w:lang w:val="en-US"/>
        </w:rPr>
        <w:t xml:space="preserve"> different cases investigated independently, nor </w:t>
      </w:r>
      <w:r w:rsidR="00716BEA" w:rsidRPr="008173C7">
        <w:rPr>
          <w:rFonts w:cs="Times New Roman"/>
          <w:bCs/>
          <w:lang w:val="en-US"/>
        </w:rPr>
        <w:t xml:space="preserve">allow </w:t>
      </w:r>
      <w:r w:rsidRPr="008173C7">
        <w:rPr>
          <w:rFonts w:cs="Times New Roman"/>
          <w:bCs/>
          <w:lang w:val="en-US"/>
        </w:rPr>
        <w:t>learning</w:t>
      </w:r>
      <w:r w:rsidR="0064630B" w:rsidRPr="008173C7">
        <w:rPr>
          <w:rFonts w:cs="Times New Roman"/>
          <w:bCs/>
          <w:lang w:val="en-US"/>
        </w:rPr>
        <w:t xml:space="preserve"> </w:t>
      </w:r>
      <w:r w:rsidR="00E308A7" w:rsidRPr="008173C7">
        <w:rPr>
          <w:rFonts w:cs="Times New Roman"/>
          <w:bCs/>
          <w:lang w:val="en-US"/>
        </w:rPr>
        <w:t>regarding generic impact generating mechanisms at</w:t>
      </w:r>
      <w:r w:rsidR="0064630B" w:rsidRPr="008173C7">
        <w:rPr>
          <w:rFonts w:cs="Times New Roman"/>
          <w:bCs/>
          <w:lang w:val="en-US"/>
        </w:rPr>
        <w:t xml:space="preserve"> the level of the organization</w:t>
      </w:r>
      <w:r w:rsidRPr="008173C7">
        <w:rPr>
          <w:rFonts w:cs="Times New Roman"/>
          <w:bCs/>
          <w:lang w:val="en-US"/>
        </w:rPr>
        <w:t>. The rating scale we build tries to</w:t>
      </w:r>
      <w:r w:rsidR="0064630B" w:rsidRPr="008173C7">
        <w:rPr>
          <w:rFonts w:cs="Times New Roman"/>
          <w:bCs/>
          <w:lang w:val="en-US"/>
        </w:rPr>
        <w:t xml:space="preserve"> account for these shortcomings</w:t>
      </w:r>
      <w:r w:rsidRPr="008173C7">
        <w:rPr>
          <w:rFonts w:cs="Times New Roman"/>
          <w:bCs/>
          <w:lang w:val="en-US"/>
        </w:rPr>
        <w:t xml:space="preserve">. </w:t>
      </w:r>
    </w:p>
    <w:p w14:paraId="004A2877" w14:textId="41D36AA8" w:rsidR="00CB2E92" w:rsidRPr="008173C7" w:rsidRDefault="00CB2E92" w:rsidP="000401BB">
      <w:pPr>
        <w:pStyle w:val="Titre1"/>
        <w:spacing w:line="480" w:lineRule="auto"/>
        <w:rPr>
          <w:rFonts w:ascii="Times New Roman" w:hAnsi="Times New Roman" w:cs="Times New Roman"/>
          <w:color w:val="auto"/>
          <w:lang w:val="en-US"/>
        </w:rPr>
      </w:pPr>
      <w:r w:rsidRPr="008173C7">
        <w:rPr>
          <w:rFonts w:ascii="Times New Roman" w:hAnsi="Times New Roman" w:cs="Times New Roman"/>
          <w:color w:val="auto"/>
          <w:lang w:val="en-US"/>
        </w:rPr>
        <w:t xml:space="preserve">2. The methodology developed </w:t>
      </w:r>
    </w:p>
    <w:p w14:paraId="6E8C7AB7" w14:textId="64AE83B3" w:rsidR="00CB2E92" w:rsidRPr="008173C7" w:rsidRDefault="00CB2E92" w:rsidP="000401BB">
      <w:pPr>
        <w:spacing w:line="480" w:lineRule="auto"/>
        <w:rPr>
          <w:rFonts w:cs="Times New Roman"/>
          <w:lang w:val="en-US"/>
        </w:rPr>
      </w:pPr>
      <w:r w:rsidRPr="008173C7">
        <w:rPr>
          <w:rFonts w:cs="Times New Roman"/>
          <w:lang w:val="en-US"/>
        </w:rPr>
        <w:t xml:space="preserve">Our objective </w:t>
      </w:r>
      <w:r w:rsidR="00230EFF" w:rsidRPr="008173C7">
        <w:rPr>
          <w:rFonts w:cs="Times New Roman"/>
          <w:lang w:val="en-US"/>
        </w:rPr>
        <w:t xml:space="preserve">was </w:t>
      </w:r>
      <w:r w:rsidRPr="008173C7">
        <w:rPr>
          <w:rFonts w:cs="Times New Roman"/>
          <w:lang w:val="en-US"/>
        </w:rPr>
        <w:t>to design a rating scale with the following properties:</w:t>
      </w:r>
    </w:p>
    <w:p w14:paraId="1E4CBFF5" w14:textId="43F44318" w:rsidR="00CB2E92" w:rsidRPr="008173C7" w:rsidRDefault="00CB2E92" w:rsidP="000401BB">
      <w:pPr>
        <w:spacing w:line="480" w:lineRule="auto"/>
        <w:rPr>
          <w:rFonts w:cs="Times New Roman"/>
          <w:lang w:val="en-US"/>
        </w:rPr>
      </w:pPr>
      <w:r w:rsidRPr="008173C7">
        <w:rPr>
          <w:rFonts w:cs="Times New Roman"/>
          <w:lang w:val="en-US"/>
        </w:rPr>
        <w:t xml:space="preserve">- To match impact scores </w:t>
      </w:r>
      <w:r w:rsidR="004908CE" w:rsidRPr="008173C7">
        <w:rPr>
          <w:rFonts w:cs="Times New Roman"/>
          <w:lang w:val="en-US"/>
        </w:rPr>
        <w:t>to</w:t>
      </w:r>
      <w:r w:rsidRPr="008173C7">
        <w:rPr>
          <w:rFonts w:cs="Times New Roman"/>
          <w:lang w:val="en-US"/>
        </w:rPr>
        <w:t xml:space="preserve"> generic criteria</w:t>
      </w:r>
      <w:r w:rsidR="00EF2117" w:rsidRPr="008173C7">
        <w:rPr>
          <w:rFonts w:cs="Times New Roman"/>
          <w:lang w:val="en-US"/>
        </w:rPr>
        <w:t xml:space="preserve"> </w:t>
      </w:r>
      <w:r w:rsidR="002C5A15" w:rsidRPr="008173C7">
        <w:rPr>
          <w:rFonts w:cs="Times New Roman"/>
          <w:lang w:val="en-US"/>
        </w:rPr>
        <w:t>which</w:t>
      </w:r>
      <w:r w:rsidR="00EF2117" w:rsidRPr="008173C7">
        <w:rPr>
          <w:rFonts w:cs="Times New Roman"/>
          <w:lang w:val="en-US"/>
        </w:rPr>
        <w:t xml:space="preserve"> are relevant to </w:t>
      </w:r>
      <w:r w:rsidR="004908CE" w:rsidRPr="008173C7">
        <w:rPr>
          <w:rFonts w:cs="Times New Roman"/>
          <w:lang w:val="en-US"/>
        </w:rPr>
        <w:t>the</w:t>
      </w:r>
      <w:r w:rsidR="00EF2117" w:rsidRPr="008173C7">
        <w:rPr>
          <w:rFonts w:cs="Times New Roman"/>
          <w:lang w:val="en-US"/>
        </w:rPr>
        <w:t xml:space="preserve"> diversity of political impact</w:t>
      </w:r>
      <w:r w:rsidR="004908CE" w:rsidRPr="008173C7">
        <w:rPr>
          <w:rFonts w:cs="Times New Roman"/>
          <w:lang w:val="en-US"/>
        </w:rPr>
        <w:t>s</w:t>
      </w:r>
      <w:r w:rsidR="00EF2117" w:rsidRPr="008173C7">
        <w:rPr>
          <w:rFonts w:cs="Times New Roman"/>
          <w:lang w:val="en-US"/>
        </w:rPr>
        <w:t xml:space="preserve"> reported in </w:t>
      </w:r>
      <w:r w:rsidRPr="008173C7">
        <w:rPr>
          <w:rFonts w:cs="Times New Roman"/>
          <w:lang w:val="en-US"/>
        </w:rPr>
        <w:t>a</w:t>
      </w:r>
      <w:r w:rsidR="004908CE" w:rsidRPr="008173C7">
        <w:rPr>
          <w:rFonts w:cs="Times New Roman"/>
          <w:lang w:val="en-US"/>
        </w:rPr>
        <w:t xml:space="preserve"> range </w:t>
      </w:r>
      <w:r w:rsidRPr="008173C7">
        <w:rPr>
          <w:rFonts w:cs="Times New Roman"/>
          <w:lang w:val="en-US"/>
        </w:rPr>
        <w:t xml:space="preserve">of cases; </w:t>
      </w:r>
    </w:p>
    <w:p w14:paraId="016CEF0D" w14:textId="7A573F8D" w:rsidR="00CB2E92" w:rsidRPr="008173C7" w:rsidRDefault="00CB2E92" w:rsidP="000401BB">
      <w:pPr>
        <w:spacing w:line="480" w:lineRule="auto"/>
        <w:rPr>
          <w:rFonts w:cs="Times New Roman"/>
          <w:lang w:val="en-US"/>
        </w:rPr>
      </w:pPr>
      <w:r w:rsidRPr="008173C7">
        <w:rPr>
          <w:rFonts w:cs="Times New Roman"/>
          <w:lang w:val="en-US"/>
        </w:rPr>
        <w:t xml:space="preserve">- To build a sufficiently explicit scale to allow objectified self-assessment by the researchers involved in the cases on the basis of information collected from </w:t>
      </w:r>
      <w:r w:rsidR="00230EFF" w:rsidRPr="008173C7">
        <w:rPr>
          <w:rFonts w:cs="Times New Roman"/>
          <w:lang w:val="en-US"/>
        </w:rPr>
        <w:t xml:space="preserve">interviews with </w:t>
      </w:r>
      <w:r w:rsidRPr="008173C7">
        <w:rPr>
          <w:rFonts w:cs="Times New Roman"/>
          <w:lang w:val="en-US"/>
        </w:rPr>
        <w:t>stakeholders;</w:t>
      </w:r>
    </w:p>
    <w:p w14:paraId="4B1B7F6B" w14:textId="69D65290" w:rsidR="00CB2E92" w:rsidRPr="008173C7" w:rsidRDefault="00CB2E92" w:rsidP="000401BB">
      <w:pPr>
        <w:spacing w:line="480" w:lineRule="auto"/>
        <w:rPr>
          <w:rFonts w:cs="Times New Roman"/>
          <w:lang w:val="en-US"/>
        </w:rPr>
      </w:pPr>
      <w:r w:rsidRPr="008173C7">
        <w:rPr>
          <w:rFonts w:cs="Times New Roman"/>
          <w:lang w:val="en-US"/>
        </w:rPr>
        <w:t xml:space="preserve">- To build a scale which </w:t>
      </w:r>
      <w:r w:rsidR="00230EFF" w:rsidRPr="008173C7">
        <w:rPr>
          <w:rFonts w:cs="Times New Roman"/>
          <w:lang w:val="en-US"/>
        </w:rPr>
        <w:t xml:space="preserve">does not </w:t>
      </w:r>
      <w:r w:rsidRPr="008173C7">
        <w:rPr>
          <w:rFonts w:cs="Times New Roman"/>
          <w:lang w:val="en-US"/>
        </w:rPr>
        <w:t xml:space="preserve">require further </w:t>
      </w:r>
      <w:r w:rsidR="0060766B" w:rsidRPr="008173C7">
        <w:rPr>
          <w:rFonts w:cs="Times New Roman"/>
          <w:lang w:val="en-US"/>
        </w:rPr>
        <w:t xml:space="preserve">involvement </w:t>
      </w:r>
      <w:r w:rsidRPr="008173C7">
        <w:rPr>
          <w:rFonts w:cs="Times New Roman"/>
          <w:lang w:val="en-US"/>
        </w:rPr>
        <w:t xml:space="preserve">of expert panels </w:t>
      </w:r>
      <w:r w:rsidR="004908CE" w:rsidRPr="008173C7">
        <w:rPr>
          <w:rFonts w:cs="Times New Roman"/>
          <w:lang w:val="en-US"/>
        </w:rPr>
        <w:t xml:space="preserve">in order to assess </w:t>
      </w:r>
      <w:r w:rsidRPr="008173C7">
        <w:rPr>
          <w:rFonts w:cs="Times New Roman"/>
          <w:lang w:val="en-US"/>
        </w:rPr>
        <w:t xml:space="preserve">individual cases. </w:t>
      </w:r>
      <w:r w:rsidR="00700896" w:rsidRPr="008173C7">
        <w:rPr>
          <w:rFonts w:cs="Times New Roman"/>
          <w:lang w:val="en-US"/>
        </w:rPr>
        <w:t>Regular</w:t>
      </w:r>
      <w:r w:rsidRPr="008173C7">
        <w:rPr>
          <w:rFonts w:cs="Times New Roman"/>
          <w:lang w:val="en-US"/>
        </w:rPr>
        <w:t xml:space="preserve"> external evaluation using expert panels</w:t>
      </w:r>
      <w:r w:rsidR="00700896" w:rsidRPr="008173C7">
        <w:rPr>
          <w:rFonts w:cs="Times New Roman"/>
          <w:lang w:val="en-US"/>
        </w:rPr>
        <w:t xml:space="preserve"> may still be needed</w:t>
      </w:r>
      <w:r w:rsidRPr="008173C7">
        <w:rPr>
          <w:rFonts w:cs="Times New Roman"/>
          <w:lang w:val="en-US"/>
        </w:rPr>
        <w:t xml:space="preserve"> to i) check consistency of use of the scale, and ii) solve emerging issues not addressed by the scale.</w:t>
      </w:r>
    </w:p>
    <w:p w14:paraId="78F40077" w14:textId="1B6EF6F4" w:rsidR="00CB2E92" w:rsidRPr="008173C7" w:rsidRDefault="00CB2E92" w:rsidP="000401BB">
      <w:pPr>
        <w:spacing w:line="480" w:lineRule="auto"/>
        <w:rPr>
          <w:rFonts w:cs="Times New Roman"/>
          <w:lang w:val="en-US"/>
        </w:rPr>
      </w:pPr>
      <w:r w:rsidRPr="008173C7">
        <w:rPr>
          <w:rFonts w:cs="Times New Roman"/>
          <w:lang w:val="en-US"/>
        </w:rPr>
        <w:t xml:space="preserve">The design of the </w:t>
      </w:r>
      <w:r w:rsidRPr="008173C7">
        <w:rPr>
          <w:rFonts w:cs="Times New Roman"/>
          <w:bCs/>
          <w:lang w:val="en-US"/>
        </w:rPr>
        <w:t>rating scale</w:t>
      </w:r>
      <w:r w:rsidRPr="008173C7">
        <w:rPr>
          <w:rFonts w:cs="Times New Roman"/>
          <w:lang w:val="en-US"/>
        </w:rPr>
        <w:t xml:space="preserve"> involved </w:t>
      </w:r>
      <w:r w:rsidR="00636FB8" w:rsidRPr="008173C7">
        <w:rPr>
          <w:rFonts w:cs="Times New Roman"/>
          <w:lang w:val="en-US"/>
        </w:rPr>
        <w:t>three</w:t>
      </w:r>
      <w:r w:rsidRPr="008173C7">
        <w:rPr>
          <w:rFonts w:cs="Times New Roman"/>
          <w:lang w:val="en-US"/>
        </w:rPr>
        <w:t xml:space="preserve"> steps described below.</w:t>
      </w:r>
    </w:p>
    <w:p w14:paraId="43C2BD4E" w14:textId="5E2A2AF5" w:rsidR="00CB2E92" w:rsidRPr="008173C7" w:rsidRDefault="00CB2E92" w:rsidP="000401BB">
      <w:pPr>
        <w:spacing w:line="480" w:lineRule="auto"/>
        <w:rPr>
          <w:rFonts w:cs="Times New Roman"/>
          <w:lang w:val="en-US"/>
        </w:rPr>
      </w:pPr>
      <w:r w:rsidRPr="008173C7">
        <w:rPr>
          <w:rFonts w:cs="Times New Roman"/>
          <w:lang w:val="en-US"/>
        </w:rPr>
        <w:t xml:space="preserve">2.1. Drawing on the literature to design an analytical framework based on the dimensions of </w:t>
      </w:r>
      <w:r w:rsidR="00230EFF" w:rsidRPr="008173C7">
        <w:rPr>
          <w:rFonts w:cs="Times New Roman"/>
          <w:lang w:val="en-US"/>
        </w:rPr>
        <w:t xml:space="preserve">the </w:t>
      </w:r>
      <w:r w:rsidRPr="008173C7">
        <w:rPr>
          <w:rFonts w:cs="Times New Roman"/>
          <w:lang w:val="en-US"/>
        </w:rPr>
        <w:t>potential contribution</w:t>
      </w:r>
      <w:r w:rsidR="00230EFF" w:rsidRPr="008173C7">
        <w:rPr>
          <w:rFonts w:cs="Times New Roman"/>
          <w:lang w:val="en-US"/>
        </w:rPr>
        <w:t>s</w:t>
      </w:r>
      <w:r w:rsidRPr="008173C7">
        <w:rPr>
          <w:rFonts w:cs="Times New Roman"/>
          <w:lang w:val="en-US"/>
        </w:rPr>
        <w:t xml:space="preserve"> of the research to policy-making, and </w:t>
      </w:r>
      <w:r w:rsidR="00230EFF" w:rsidRPr="008173C7">
        <w:rPr>
          <w:rFonts w:cs="Times New Roman"/>
          <w:lang w:val="en-US"/>
        </w:rPr>
        <w:t>the</w:t>
      </w:r>
      <w:r w:rsidRPr="008173C7">
        <w:rPr>
          <w:rFonts w:cs="Times New Roman"/>
          <w:lang w:val="en-US"/>
        </w:rPr>
        <w:t xml:space="preserve"> associated impacts. </w:t>
      </w:r>
    </w:p>
    <w:p w14:paraId="20E53EB7" w14:textId="12BEE4D4" w:rsidR="00CB2E92" w:rsidRPr="008173C7" w:rsidRDefault="00CB2E92" w:rsidP="000401BB">
      <w:pPr>
        <w:spacing w:line="480" w:lineRule="auto"/>
        <w:rPr>
          <w:rFonts w:cs="Times New Roman"/>
          <w:lang w:val="en-US"/>
        </w:rPr>
      </w:pPr>
      <w:r w:rsidRPr="008173C7">
        <w:rPr>
          <w:rFonts w:cs="Times New Roman"/>
          <w:lang w:val="en-US"/>
        </w:rPr>
        <w:t xml:space="preserve">2.2 Using an expert panel to judge a sample of five case studies, using and refining the proposed framework, and clarifying the values on which their judgments </w:t>
      </w:r>
      <w:r w:rsidR="00230EFF" w:rsidRPr="008173C7">
        <w:rPr>
          <w:rFonts w:cs="Times New Roman"/>
          <w:lang w:val="en-US"/>
        </w:rPr>
        <w:t>were</w:t>
      </w:r>
      <w:r w:rsidRPr="008173C7">
        <w:rPr>
          <w:rFonts w:cs="Times New Roman"/>
          <w:lang w:val="en-US"/>
        </w:rPr>
        <w:t xml:space="preserve"> based. </w:t>
      </w:r>
    </w:p>
    <w:p w14:paraId="15A3C31B" w14:textId="405D5B1A" w:rsidR="00CB2E92" w:rsidRPr="008173C7" w:rsidRDefault="00CB2E92" w:rsidP="000401BB">
      <w:pPr>
        <w:spacing w:line="480" w:lineRule="auto"/>
        <w:rPr>
          <w:rFonts w:cs="Times New Roman"/>
          <w:lang w:val="en-US"/>
        </w:rPr>
      </w:pPr>
      <w:r w:rsidRPr="008173C7">
        <w:rPr>
          <w:rFonts w:cs="Times New Roman"/>
          <w:lang w:val="en-US"/>
        </w:rPr>
        <w:t xml:space="preserve">2.3. </w:t>
      </w:r>
      <w:r w:rsidR="00636FB8" w:rsidRPr="008173C7">
        <w:rPr>
          <w:rFonts w:cs="Times New Roman"/>
          <w:lang w:val="en-US"/>
        </w:rPr>
        <w:t>Processing the data to derive the criteria used by experts to form their judgment</w:t>
      </w:r>
      <w:r w:rsidR="00230EFF" w:rsidRPr="008173C7">
        <w:rPr>
          <w:rFonts w:cs="Times New Roman"/>
          <w:lang w:val="en-US"/>
        </w:rPr>
        <w:t>s,</w:t>
      </w:r>
      <w:r w:rsidR="00636FB8" w:rsidRPr="008173C7">
        <w:rPr>
          <w:rFonts w:cs="Times New Roman"/>
          <w:lang w:val="en-US"/>
        </w:rPr>
        <w:t xml:space="preserve"> and to hierarchize them</w:t>
      </w:r>
      <w:r w:rsidR="00230EFF" w:rsidRPr="008173C7">
        <w:rPr>
          <w:rFonts w:cs="Times New Roman"/>
          <w:lang w:val="en-US"/>
        </w:rPr>
        <w:t xml:space="preserve"> collectively</w:t>
      </w:r>
      <w:r w:rsidRPr="008173C7">
        <w:rPr>
          <w:rFonts w:cs="Times New Roman"/>
          <w:lang w:val="en-US"/>
        </w:rPr>
        <w:t>.</w:t>
      </w:r>
    </w:p>
    <w:p w14:paraId="3D43B19E" w14:textId="1CBAC606" w:rsidR="005B1824" w:rsidRPr="008173C7" w:rsidRDefault="00CB2E92" w:rsidP="000401BB">
      <w:pPr>
        <w:pStyle w:val="Titre3"/>
        <w:spacing w:after="200" w:line="480" w:lineRule="auto"/>
        <w:rPr>
          <w:rFonts w:ascii="Times New Roman" w:hAnsi="Times New Roman" w:cs="Times New Roman"/>
          <w:color w:val="auto"/>
          <w:lang w:val="en-US"/>
        </w:rPr>
      </w:pPr>
      <w:r w:rsidRPr="008173C7">
        <w:rPr>
          <w:rFonts w:ascii="Times New Roman" w:hAnsi="Times New Roman" w:cs="Times New Roman"/>
          <w:color w:val="auto"/>
          <w:lang w:val="en-US"/>
        </w:rPr>
        <w:t>2.1</w:t>
      </w:r>
      <w:r w:rsidR="005B1824" w:rsidRPr="008173C7">
        <w:rPr>
          <w:rFonts w:ascii="Times New Roman" w:hAnsi="Times New Roman" w:cs="Times New Roman"/>
          <w:color w:val="auto"/>
          <w:lang w:val="en-US"/>
        </w:rPr>
        <w:t xml:space="preserve"> Building an analytical framework to analyze the political impact of cases</w:t>
      </w:r>
    </w:p>
    <w:p w14:paraId="1E413C59" w14:textId="4564E069" w:rsidR="00D24431" w:rsidRPr="008173C7" w:rsidRDefault="00162FB4" w:rsidP="00D24431">
      <w:pPr>
        <w:spacing w:line="480" w:lineRule="auto"/>
        <w:rPr>
          <w:rFonts w:cs="Times New Roman"/>
          <w:lang w:val="en-US"/>
        </w:rPr>
      </w:pPr>
      <w:r w:rsidRPr="008173C7">
        <w:rPr>
          <w:rFonts w:cs="Times New Roman"/>
          <w:lang w:val="en-US"/>
        </w:rPr>
        <w:t>The literature posits that the research</w:t>
      </w:r>
      <w:r w:rsidR="005A0860" w:rsidRPr="008173C7">
        <w:rPr>
          <w:rFonts w:cs="Times New Roman"/>
          <w:lang w:val="en-US"/>
        </w:rPr>
        <w:t>-</w:t>
      </w:r>
      <w:r w:rsidRPr="008173C7">
        <w:rPr>
          <w:rFonts w:cs="Times New Roman"/>
          <w:lang w:val="en-US"/>
        </w:rPr>
        <w:t>policy nexus involves complex processes that defy simple analysis (e.g. Cozzens 2010; Greenhalgh</w:t>
      </w:r>
      <w:r w:rsidR="00E57E14" w:rsidRPr="008173C7">
        <w:rPr>
          <w:rFonts w:cs="Times New Roman"/>
          <w:lang w:val="en-US"/>
        </w:rPr>
        <w:t xml:space="preserve"> </w:t>
      </w:r>
      <w:r w:rsidRPr="008173C7">
        <w:rPr>
          <w:rFonts w:cs="Times New Roman"/>
          <w:lang w:val="en-US"/>
        </w:rPr>
        <w:t xml:space="preserve">2016). </w:t>
      </w:r>
      <w:r w:rsidR="00230EFF" w:rsidRPr="008173C7">
        <w:rPr>
          <w:rFonts w:cs="Times New Roman"/>
          <w:lang w:val="en-US"/>
        </w:rPr>
        <w:t>However</w:t>
      </w:r>
      <w:r w:rsidRPr="008173C7">
        <w:rPr>
          <w:rFonts w:cs="Times New Roman"/>
          <w:lang w:val="en-US"/>
        </w:rPr>
        <w:t xml:space="preserve">, </w:t>
      </w:r>
      <w:r w:rsidR="00230EFF" w:rsidRPr="008173C7">
        <w:rPr>
          <w:rFonts w:cs="Times New Roman"/>
          <w:lang w:val="en-US"/>
        </w:rPr>
        <w:t xml:space="preserve">to be feasible, </w:t>
      </w:r>
      <w:r w:rsidRPr="008173C7">
        <w:rPr>
          <w:rFonts w:cs="Times New Roman"/>
          <w:lang w:val="en-US"/>
        </w:rPr>
        <w:t>an evaluation framework necessarily requires some structure and simplification</w:t>
      </w:r>
      <w:r w:rsidR="00D24431" w:rsidRPr="008173C7">
        <w:rPr>
          <w:rFonts w:cs="Times New Roman"/>
          <w:lang w:val="en-US"/>
        </w:rPr>
        <w:t xml:space="preserve">. The design of our analytical grid drew on the literature (section 1.2) and on inductive analysis based on our case studies. </w:t>
      </w:r>
    </w:p>
    <w:p w14:paraId="7FFC920C" w14:textId="0F513D79" w:rsidR="00D24431" w:rsidRPr="008173C7" w:rsidRDefault="00D24431" w:rsidP="00D24431">
      <w:pPr>
        <w:spacing w:line="480" w:lineRule="auto"/>
        <w:rPr>
          <w:rFonts w:cs="Times New Roman"/>
          <w:lang w:val="en-US"/>
        </w:rPr>
      </w:pPr>
      <w:r w:rsidRPr="008173C7">
        <w:rPr>
          <w:rFonts w:cs="Times New Roman"/>
          <w:lang w:val="en-US"/>
        </w:rPr>
        <w:t>In order to take comprehensive account of the different ways that knowledge may impact on policy making, we consider three m</w:t>
      </w:r>
      <w:r w:rsidR="00B22795">
        <w:rPr>
          <w:rFonts w:cs="Times New Roman"/>
          <w:lang w:val="en-US"/>
        </w:rPr>
        <w:t>ain dimensions that are in line</w:t>
      </w:r>
      <w:r w:rsidRPr="008173C7">
        <w:rPr>
          <w:rFonts w:cs="Times New Roman"/>
          <w:lang w:val="en-US"/>
        </w:rPr>
        <w:t xml:space="preserve"> with the research exploitation paths identified by </w:t>
      </w:r>
      <w:r w:rsidR="00DA7E42" w:rsidRPr="00DA7E42">
        <w:rPr>
          <w:rFonts w:cs="Times New Roman"/>
          <w:szCs w:val="24"/>
          <w:lang w:val="en-US"/>
        </w:rPr>
        <w:t xml:space="preserve">Almeida </w:t>
      </w:r>
      <w:r w:rsidR="0016494E">
        <w:rPr>
          <w:rFonts w:cs="Times New Roman"/>
          <w:szCs w:val="24"/>
          <w:lang w:val="en-US"/>
        </w:rPr>
        <w:t>and</w:t>
      </w:r>
      <w:r w:rsidR="00DA7E42" w:rsidRPr="00DA7E42">
        <w:rPr>
          <w:rFonts w:cs="Times New Roman"/>
          <w:szCs w:val="24"/>
          <w:lang w:val="en-US"/>
        </w:rPr>
        <w:t xml:space="preserve"> Báscolo </w:t>
      </w:r>
      <w:r w:rsidR="0016494E">
        <w:rPr>
          <w:rFonts w:cs="Times New Roman"/>
          <w:szCs w:val="24"/>
          <w:lang w:val="en-US"/>
        </w:rPr>
        <w:t>(</w:t>
      </w:r>
      <w:r w:rsidR="00DA7E42" w:rsidRPr="00DA7E42">
        <w:rPr>
          <w:rFonts w:cs="Times New Roman"/>
          <w:szCs w:val="24"/>
          <w:lang w:val="en-US"/>
        </w:rPr>
        <w:t>2006)</w:t>
      </w:r>
      <w:r w:rsidRPr="008173C7">
        <w:rPr>
          <w:rFonts w:cs="Times New Roman"/>
          <w:lang w:val="en-US"/>
        </w:rPr>
        <w:t>: (i) contribution of research results to policy negotiation and actors’ positioning; (ii) instrumental use in policy-making; (iii) long-term effects on the terms of debate. We add a fourth dimension which is the societal importance of the policy domain as highlighted in Kingdon (1984). Each of these dimensions was detailed in sub-dimensions presented in table 1.</w:t>
      </w:r>
    </w:p>
    <w:p w14:paraId="2F601E5D" w14:textId="56CBF7A9" w:rsidR="00AB396E" w:rsidRPr="008173C7" w:rsidRDefault="00AB396E" w:rsidP="00E6090B">
      <w:pPr>
        <w:spacing w:line="480" w:lineRule="auto"/>
        <w:rPr>
          <w:rFonts w:cs="Times New Roman"/>
          <w:lang w:val="en-US"/>
        </w:rPr>
      </w:pPr>
      <w:r w:rsidRPr="008173C7">
        <w:rPr>
          <w:rFonts w:cs="Times New Roman"/>
          <w:lang w:val="en-US"/>
        </w:rPr>
        <w:t>We used as pilots the five case studies reporting potential political impact, available at the time of the research. These five pilot cases</w:t>
      </w:r>
      <w:r w:rsidRPr="008173C7">
        <w:rPr>
          <w:rStyle w:val="Appelnotedebasdep"/>
          <w:rFonts w:cs="Times New Roman"/>
          <w:lang w:val="en-US"/>
        </w:rPr>
        <w:footnoteReference w:id="3"/>
      </w:r>
      <w:r w:rsidRPr="008173C7">
        <w:rPr>
          <w:rFonts w:cs="Times New Roman"/>
          <w:lang w:val="en-US"/>
        </w:rPr>
        <w:t xml:space="preserve"> constitute the empirical basis for our rating scale design. </w:t>
      </w:r>
      <w:r w:rsidR="001257F4" w:rsidRPr="008173C7">
        <w:rPr>
          <w:rFonts w:cs="Times New Roman"/>
          <w:lang w:val="en-US"/>
        </w:rPr>
        <w:t xml:space="preserve">We </w:t>
      </w:r>
      <w:r w:rsidR="00B96314" w:rsidRPr="008173C7">
        <w:rPr>
          <w:rFonts w:cs="Times New Roman"/>
          <w:lang w:val="en-US"/>
        </w:rPr>
        <w:t xml:space="preserve">formatted the </w:t>
      </w:r>
      <w:r w:rsidR="001257F4" w:rsidRPr="008173C7">
        <w:rPr>
          <w:rFonts w:cs="Times New Roman"/>
          <w:lang w:val="en-US"/>
        </w:rPr>
        <w:t xml:space="preserve">pilot cases using </w:t>
      </w:r>
      <w:r w:rsidR="00B96314" w:rsidRPr="008173C7">
        <w:rPr>
          <w:rFonts w:cs="Times New Roman"/>
          <w:lang w:val="en-US"/>
        </w:rPr>
        <w:t>the</w:t>
      </w:r>
      <w:r w:rsidR="001257F4" w:rsidRPr="008173C7">
        <w:rPr>
          <w:rFonts w:cs="Times New Roman"/>
          <w:lang w:val="en-US"/>
        </w:rPr>
        <w:t xml:space="preserve"> analytical grid</w:t>
      </w:r>
      <w:r w:rsidR="00B96314" w:rsidRPr="008173C7">
        <w:rPr>
          <w:rFonts w:cs="Times New Roman"/>
          <w:lang w:val="en-US"/>
        </w:rPr>
        <w:t>:</w:t>
      </w:r>
      <w:r w:rsidR="001257F4" w:rsidRPr="008173C7">
        <w:rPr>
          <w:rFonts w:cs="Times New Roman"/>
          <w:lang w:val="en-US"/>
        </w:rPr>
        <w:t xml:space="preserve"> </w:t>
      </w:r>
      <w:r w:rsidR="00B96314" w:rsidRPr="008173C7">
        <w:rPr>
          <w:rFonts w:cs="Times New Roman"/>
          <w:lang w:val="en-US"/>
        </w:rPr>
        <w:t>evidence of impact (i.e. local qualitative and quantitative descriptors of impact collected through interviews with stakeholders and desk research) was extracted from the case reports, and sorted to match the corresponding analytical dimensions.</w:t>
      </w:r>
      <w:r w:rsidRPr="008173C7">
        <w:rPr>
          <w:rFonts w:cs="Times New Roman"/>
          <w:lang w:val="en-US"/>
        </w:rPr>
        <w:t xml:space="preserve"> This step confirmed the sub dimensions identified in the literature, but led to some additional ones (e.g. </w:t>
      </w:r>
      <w:r w:rsidRPr="008173C7">
        <w:rPr>
          <w:rFonts w:cs="Times New Roman"/>
          <w:bCs/>
          <w:lang w:val="en-US"/>
        </w:rPr>
        <w:t xml:space="preserve">Intensity and quality of media coverage, </w:t>
      </w:r>
      <w:r w:rsidRPr="008173C7">
        <w:rPr>
          <w:rFonts w:cs="Times New Roman"/>
          <w:lang w:val="en-US"/>
        </w:rPr>
        <w:t>Territorial scale of policies)</w:t>
      </w:r>
      <w:r w:rsidR="00B96314" w:rsidRPr="008173C7">
        <w:rPr>
          <w:rFonts w:cs="Times New Roman"/>
          <w:lang w:val="en-US"/>
        </w:rPr>
        <w:t>.</w:t>
      </w:r>
    </w:p>
    <w:p w14:paraId="65FC4231" w14:textId="048721EC" w:rsidR="00AB396E" w:rsidRPr="008173C7" w:rsidRDefault="003E56B1" w:rsidP="006D22CB">
      <w:pPr>
        <w:spacing w:line="480" w:lineRule="auto"/>
        <w:rPr>
          <w:rFonts w:cs="Times New Roman"/>
          <w:lang w:val="en-US"/>
        </w:rPr>
      </w:pPr>
      <w:r w:rsidRPr="008173C7">
        <w:rPr>
          <w:rFonts w:cs="Times New Roman"/>
          <w:lang w:val="en-US"/>
        </w:rPr>
        <w:t>This broad analytical framework covers the broad policy-making process literature, and complements the complex innovation theories that underpin research impacts by focusing on actors’ contributions, productive configurations, knowledge translation and impact-generating mechanisms</w:t>
      </w:r>
      <w:r w:rsidR="00DD55D4" w:rsidRPr="008173C7">
        <w:rPr>
          <w:rFonts w:cs="Times New Roman"/>
          <w:lang w:val="en-US"/>
        </w:rPr>
        <w:t xml:space="preserve"> </w:t>
      </w:r>
      <w:r w:rsidR="00DA7E42" w:rsidRPr="00DA7E42">
        <w:rPr>
          <w:rFonts w:cs="Times New Roman"/>
          <w:lang w:val="en-US"/>
        </w:rPr>
        <w:t>(Joly et al. 2015)</w:t>
      </w:r>
      <w:r w:rsidR="00DD55D4" w:rsidRPr="008173C7">
        <w:rPr>
          <w:rFonts w:cs="Times New Roman"/>
          <w:lang w:val="en-US"/>
        </w:rPr>
        <w:t>.</w:t>
      </w:r>
    </w:p>
    <w:p w14:paraId="57F086CB" w14:textId="19843695" w:rsidR="006D22CB" w:rsidRPr="008173C7" w:rsidRDefault="006D22CB" w:rsidP="006D22CB">
      <w:pPr>
        <w:spacing w:line="480" w:lineRule="auto"/>
        <w:rPr>
          <w:rFonts w:cs="Times New Roman"/>
          <w:lang w:val="en-US"/>
        </w:rPr>
      </w:pPr>
      <w:r w:rsidRPr="008173C7">
        <w:rPr>
          <w:rFonts w:cs="Times New Roman"/>
          <w:lang w:val="en-US"/>
        </w:rPr>
        <w:t>Table 1: Dimensions and sub dimensions of the ASIRPA analytical framework for political impact</w:t>
      </w:r>
      <w:r w:rsidR="00AB396E" w:rsidRPr="008173C7">
        <w:rPr>
          <w:rFonts w:cs="Times New Roman"/>
          <w:lang w:val="en-US"/>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12"/>
      </w:tblGrid>
      <w:tr w:rsidR="00771BF6" w:rsidRPr="008173C7" w14:paraId="595FCCD5" w14:textId="77777777" w:rsidTr="006D22CB">
        <w:trPr>
          <w:trHeight w:val="617"/>
        </w:trPr>
        <w:tc>
          <w:tcPr>
            <w:tcW w:w="2268" w:type="dxa"/>
          </w:tcPr>
          <w:p w14:paraId="416FED4B" w14:textId="77777777" w:rsidR="006D22CB" w:rsidRPr="008173C7" w:rsidRDefault="006D22CB" w:rsidP="006D22CB">
            <w:pPr>
              <w:spacing w:after="0" w:line="240" w:lineRule="auto"/>
              <w:jc w:val="left"/>
              <w:rPr>
                <w:rFonts w:cs="Times New Roman"/>
                <w:b/>
                <w:bCs/>
                <w:lang w:val="en-US"/>
              </w:rPr>
            </w:pPr>
            <w:r w:rsidRPr="008173C7">
              <w:rPr>
                <w:rFonts w:cs="Times New Roman"/>
                <w:b/>
                <w:bCs/>
                <w:lang w:val="en-US"/>
              </w:rPr>
              <w:t>Dimensions of political impact</w:t>
            </w:r>
          </w:p>
        </w:tc>
        <w:tc>
          <w:tcPr>
            <w:tcW w:w="6912" w:type="dxa"/>
          </w:tcPr>
          <w:p w14:paraId="7DEF1E06" w14:textId="77777777" w:rsidR="006D22CB" w:rsidRPr="008173C7" w:rsidRDefault="006D22CB" w:rsidP="006D22CB">
            <w:pPr>
              <w:spacing w:after="0" w:line="240" w:lineRule="auto"/>
              <w:rPr>
                <w:rFonts w:cs="Times New Roman"/>
                <w:b/>
                <w:bCs/>
                <w:lang w:val="en-US"/>
              </w:rPr>
            </w:pPr>
            <w:r w:rsidRPr="008173C7">
              <w:rPr>
                <w:rFonts w:cs="Times New Roman"/>
                <w:b/>
                <w:bCs/>
                <w:lang w:val="en-US"/>
              </w:rPr>
              <w:t xml:space="preserve">Sub dimensions </w:t>
            </w:r>
          </w:p>
        </w:tc>
      </w:tr>
      <w:tr w:rsidR="00771BF6" w:rsidRPr="00921D03" w14:paraId="02942DC4" w14:textId="77777777" w:rsidTr="006D22CB">
        <w:tc>
          <w:tcPr>
            <w:tcW w:w="2268" w:type="dxa"/>
          </w:tcPr>
          <w:p w14:paraId="4B41DC92" w14:textId="1FDC16E8" w:rsidR="006D22CB" w:rsidRPr="008173C7" w:rsidRDefault="006D22CB" w:rsidP="00884C75">
            <w:pPr>
              <w:spacing w:after="0" w:line="240" w:lineRule="auto"/>
              <w:rPr>
                <w:rFonts w:cs="Times New Roman"/>
                <w:bCs/>
                <w:lang w:val="en-US"/>
              </w:rPr>
            </w:pPr>
            <w:r w:rsidRPr="008173C7">
              <w:rPr>
                <w:rFonts w:cs="Times New Roman"/>
                <w:lang w:val="en-US"/>
              </w:rPr>
              <w:t>U</w:t>
            </w:r>
            <w:r w:rsidRPr="008173C7" w:rsidDel="00B70EAB">
              <w:rPr>
                <w:rFonts w:cs="Times New Roman"/>
                <w:lang w:val="en-US"/>
              </w:rPr>
              <w:t>se in public deba</w:t>
            </w:r>
            <w:r w:rsidRPr="008173C7">
              <w:rPr>
                <w:rFonts w:cs="Times New Roman"/>
                <w:lang w:val="en-US"/>
              </w:rPr>
              <w:t xml:space="preserve">te and policy negotiation </w:t>
            </w:r>
            <w:r w:rsidRPr="00884C75">
              <w:rPr>
                <w:rFonts w:cs="Times New Roman"/>
                <w:i/>
                <w:szCs w:val="20"/>
                <w:lang w:val="en-US"/>
              </w:rPr>
              <w:t xml:space="preserve">inspired by </w:t>
            </w:r>
            <w:r w:rsidR="00DA7E42" w:rsidRPr="00884C75">
              <w:rPr>
                <w:rFonts w:cs="Times New Roman"/>
                <w:i/>
                <w:szCs w:val="24"/>
                <w:lang w:val="en-US"/>
              </w:rPr>
              <w:t xml:space="preserve">Almeida </w:t>
            </w:r>
            <w:r w:rsidR="00884C75" w:rsidRPr="00884C75">
              <w:rPr>
                <w:rFonts w:cs="Times New Roman"/>
                <w:i/>
                <w:szCs w:val="24"/>
                <w:lang w:val="en-US"/>
              </w:rPr>
              <w:t>and</w:t>
            </w:r>
            <w:r w:rsidR="00DA7E42" w:rsidRPr="00884C75">
              <w:rPr>
                <w:rFonts w:cs="Times New Roman"/>
                <w:i/>
                <w:szCs w:val="24"/>
                <w:lang w:val="en-US"/>
              </w:rPr>
              <w:t xml:space="preserve"> Báscolo </w:t>
            </w:r>
            <w:r w:rsidR="00ED48CC" w:rsidRPr="00884C75">
              <w:rPr>
                <w:rFonts w:cs="Times New Roman"/>
                <w:i/>
                <w:szCs w:val="24"/>
                <w:lang w:val="en-US"/>
              </w:rPr>
              <w:t>(</w:t>
            </w:r>
            <w:r w:rsidR="00DA7E42" w:rsidRPr="00884C75">
              <w:rPr>
                <w:rFonts w:cs="Times New Roman"/>
                <w:i/>
                <w:szCs w:val="24"/>
                <w:lang w:val="en-US"/>
              </w:rPr>
              <w:t>2006)</w:t>
            </w:r>
            <w:r w:rsidRPr="00884C75">
              <w:rPr>
                <w:rFonts w:cs="Times New Roman"/>
                <w:i/>
                <w:szCs w:val="20"/>
                <w:lang w:val="en-US"/>
              </w:rPr>
              <w:t xml:space="preserve"> strategic use of knowledge</w:t>
            </w:r>
            <w:r w:rsidRPr="008173C7">
              <w:rPr>
                <w:rFonts w:cs="Times New Roman"/>
                <w:i/>
                <w:szCs w:val="20"/>
                <w:lang w:val="en-US"/>
              </w:rPr>
              <w:t xml:space="preserve"> to influence actors’ positions</w:t>
            </w:r>
          </w:p>
        </w:tc>
        <w:tc>
          <w:tcPr>
            <w:tcW w:w="6912" w:type="dxa"/>
          </w:tcPr>
          <w:p w14:paraId="38B7BB09" w14:textId="77777777" w:rsidR="006D22CB" w:rsidRPr="008173C7" w:rsidRDefault="006D22CB" w:rsidP="006D22CB">
            <w:pPr>
              <w:pStyle w:val="Paragraphedeliste"/>
              <w:numPr>
                <w:ilvl w:val="0"/>
                <w:numId w:val="6"/>
              </w:numPr>
              <w:spacing w:after="0" w:line="240" w:lineRule="auto"/>
              <w:ind w:left="0" w:hanging="205"/>
              <w:rPr>
                <w:rFonts w:cs="Times New Roman"/>
                <w:i/>
                <w:szCs w:val="20"/>
                <w:lang w:val="en-US"/>
              </w:rPr>
            </w:pPr>
            <w:r w:rsidRPr="008173C7">
              <w:rPr>
                <w:rFonts w:cs="Times New Roman"/>
                <w:lang w:val="en-US"/>
              </w:rPr>
              <w:t xml:space="preserve">Quality and strength of research messages conveyed </w:t>
            </w:r>
          </w:p>
          <w:p w14:paraId="7B8F149E" w14:textId="647513AF" w:rsidR="006D22CB" w:rsidRPr="00DA7E42" w:rsidRDefault="00DA7E42" w:rsidP="006D22CB">
            <w:pPr>
              <w:pStyle w:val="Paragraphedeliste"/>
              <w:spacing w:after="0" w:line="240" w:lineRule="auto"/>
              <w:ind w:left="0"/>
              <w:rPr>
                <w:rFonts w:cs="Times New Roman"/>
                <w:i/>
                <w:szCs w:val="20"/>
                <w:lang w:val="en-US"/>
              </w:rPr>
            </w:pPr>
            <w:r w:rsidRPr="00DA7E42">
              <w:rPr>
                <w:rFonts w:cs="Times New Roman"/>
                <w:i/>
              </w:rPr>
              <w:t xml:space="preserve">(Cozzens </w:t>
            </w:r>
            <w:r w:rsidR="0016494E">
              <w:rPr>
                <w:rFonts w:cs="Times New Roman"/>
                <w:i/>
              </w:rPr>
              <w:t xml:space="preserve">and </w:t>
            </w:r>
            <w:r w:rsidRPr="00DA7E42">
              <w:rPr>
                <w:rFonts w:cs="Times New Roman"/>
                <w:i/>
              </w:rPr>
              <w:t>Snoek 2010; Weiss 1979)</w:t>
            </w:r>
          </w:p>
          <w:p w14:paraId="3B16F51F"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bCs/>
                <w:lang w:val="en-US"/>
              </w:rPr>
              <w:t xml:space="preserve">Timeliness of debate and </w:t>
            </w:r>
            <w:r w:rsidRPr="008173C7">
              <w:rPr>
                <w:rFonts w:cs="Times New Roman"/>
                <w:lang w:val="en-US"/>
              </w:rPr>
              <w:t>political agenda-setting</w:t>
            </w:r>
          </w:p>
          <w:p w14:paraId="7AC68CAF" w14:textId="5772EDFE" w:rsidR="006D22CB" w:rsidRPr="00DA7E42" w:rsidRDefault="00DA7E42" w:rsidP="006D22CB">
            <w:pPr>
              <w:pStyle w:val="Paragraphedeliste"/>
              <w:spacing w:after="0" w:line="240" w:lineRule="auto"/>
              <w:ind w:left="0"/>
              <w:rPr>
                <w:rFonts w:cs="Times New Roman"/>
                <w:i/>
                <w:lang w:val="en-US"/>
              </w:rPr>
            </w:pPr>
            <w:r w:rsidRPr="00DA7E42">
              <w:rPr>
                <w:rFonts w:cs="Times New Roman"/>
                <w:i/>
                <w:lang w:val="en-US"/>
              </w:rPr>
              <w:t xml:space="preserve">(Cozzens </w:t>
            </w:r>
            <w:r w:rsidR="0016494E">
              <w:rPr>
                <w:rFonts w:cs="Times New Roman"/>
                <w:i/>
                <w:lang w:val="en-US"/>
              </w:rPr>
              <w:t xml:space="preserve">and </w:t>
            </w:r>
            <w:r w:rsidRPr="00DA7E42">
              <w:rPr>
                <w:rFonts w:cs="Times New Roman"/>
                <w:i/>
                <w:lang w:val="en-US"/>
              </w:rPr>
              <w:t>Snoek 2010</w:t>
            </w:r>
            <w:r w:rsidR="006D22CB" w:rsidRPr="00DA7E42">
              <w:rPr>
                <w:rFonts w:cs="Times New Roman"/>
                <w:bCs/>
                <w:i/>
                <w:szCs w:val="20"/>
                <w:lang w:val="en-US"/>
              </w:rPr>
              <w:t>;</w:t>
            </w:r>
            <w:r w:rsidR="006D22CB" w:rsidRPr="00DA7E42">
              <w:rPr>
                <w:rFonts w:cs="Times New Roman"/>
                <w:bCs/>
                <w:i/>
                <w:lang w:val="en-US"/>
              </w:rPr>
              <w:t xml:space="preserve"> </w:t>
            </w:r>
            <w:r w:rsidRPr="00DA7E42">
              <w:rPr>
                <w:rFonts w:cs="Times New Roman"/>
                <w:i/>
                <w:lang w:val="en-US"/>
              </w:rPr>
              <w:t>Kingdon 1995)</w:t>
            </w:r>
          </w:p>
          <w:p w14:paraId="2E102164"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bCs/>
                <w:lang w:val="en-US"/>
              </w:rPr>
              <w:t xml:space="preserve">Intensity and quality of media coverage </w:t>
            </w:r>
          </w:p>
          <w:p w14:paraId="3BDDD112" w14:textId="77777777" w:rsidR="006D22CB" w:rsidRPr="008173C7" w:rsidRDefault="006D22CB" w:rsidP="006D22CB">
            <w:pPr>
              <w:pStyle w:val="Paragraphedeliste"/>
              <w:spacing w:after="0" w:line="240" w:lineRule="auto"/>
              <w:ind w:left="0"/>
              <w:rPr>
                <w:rFonts w:cs="Times New Roman"/>
                <w:lang w:val="en-US"/>
              </w:rPr>
            </w:pPr>
            <w:r w:rsidRPr="008173C7">
              <w:rPr>
                <w:rFonts w:cs="Times New Roman"/>
                <w:bCs/>
                <w:i/>
                <w:szCs w:val="20"/>
                <w:lang w:val="en-US"/>
              </w:rPr>
              <w:t>(insights from intermediary activities reported in the pilot cases)</w:t>
            </w:r>
          </w:p>
          <w:p w14:paraId="47AA6DEA"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lang w:val="en-US"/>
              </w:rPr>
              <w:t xml:space="preserve"> </w:t>
            </w:r>
            <w:r w:rsidRPr="008173C7">
              <w:rPr>
                <w:rFonts w:cs="Times New Roman"/>
                <w:bCs/>
                <w:lang w:val="en-US"/>
              </w:rPr>
              <w:t>Intensity and quality of debate</w:t>
            </w:r>
            <w:r w:rsidRPr="008173C7">
              <w:rPr>
                <w:rFonts w:cs="Times New Roman"/>
                <w:lang w:val="en-US"/>
              </w:rPr>
              <w:t xml:space="preserve"> </w:t>
            </w:r>
          </w:p>
          <w:p w14:paraId="704783B2" w14:textId="1333B15B" w:rsidR="006D22CB" w:rsidRPr="0016494E" w:rsidRDefault="00DA7E42" w:rsidP="0016494E">
            <w:pPr>
              <w:pStyle w:val="Paragraphedeliste"/>
              <w:spacing w:after="0" w:line="240" w:lineRule="auto"/>
              <w:ind w:left="0"/>
              <w:rPr>
                <w:rFonts w:cs="Times New Roman"/>
                <w:i/>
                <w:lang w:val="en-US"/>
              </w:rPr>
            </w:pPr>
            <w:r w:rsidRPr="0016494E">
              <w:rPr>
                <w:rFonts w:cs="Times New Roman"/>
                <w:i/>
                <w:lang w:val="en-US"/>
              </w:rPr>
              <w:t>(Cash et al. 2003</w:t>
            </w:r>
            <w:r w:rsidR="006D22CB" w:rsidRPr="0016494E">
              <w:rPr>
                <w:rFonts w:cs="Times New Roman"/>
                <w:i/>
                <w:szCs w:val="20"/>
                <w:lang w:val="en-US"/>
              </w:rPr>
              <w:t>;</w:t>
            </w:r>
            <w:r w:rsidRPr="0016494E">
              <w:rPr>
                <w:rFonts w:cs="Times New Roman"/>
                <w:i/>
                <w:lang w:val="en-US"/>
              </w:rPr>
              <w:t xml:space="preserve"> Davies </w:t>
            </w:r>
            <w:r w:rsidR="0016494E" w:rsidRPr="0016494E">
              <w:rPr>
                <w:rFonts w:cs="Times New Roman"/>
                <w:i/>
                <w:lang w:val="en-US"/>
              </w:rPr>
              <w:t xml:space="preserve">and </w:t>
            </w:r>
            <w:r w:rsidRPr="0016494E">
              <w:rPr>
                <w:rFonts w:cs="Times New Roman"/>
                <w:i/>
                <w:lang w:val="en-US"/>
              </w:rPr>
              <w:t>Nutley 2008)</w:t>
            </w:r>
          </w:p>
        </w:tc>
      </w:tr>
      <w:tr w:rsidR="00771BF6" w:rsidRPr="00921D03" w14:paraId="7153EB9C" w14:textId="77777777" w:rsidTr="006D22CB">
        <w:tc>
          <w:tcPr>
            <w:tcW w:w="2268" w:type="dxa"/>
          </w:tcPr>
          <w:p w14:paraId="09AC737A" w14:textId="5B523486" w:rsidR="006D22CB" w:rsidRPr="008173C7" w:rsidRDefault="006D22CB" w:rsidP="000E7B22">
            <w:pPr>
              <w:spacing w:after="0" w:line="240" w:lineRule="auto"/>
              <w:rPr>
                <w:rFonts w:cs="Times New Roman"/>
                <w:lang w:val="en-US"/>
              </w:rPr>
            </w:pPr>
            <w:r w:rsidRPr="008173C7">
              <w:rPr>
                <w:rFonts w:cs="Times New Roman"/>
                <w:lang w:val="en-US"/>
              </w:rPr>
              <w:t>U</w:t>
            </w:r>
            <w:r w:rsidRPr="008173C7" w:rsidDel="00B70EAB">
              <w:rPr>
                <w:rFonts w:cs="Times New Roman"/>
                <w:lang w:val="en-US"/>
              </w:rPr>
              <w:t>se for policy-making</w:t>
            </w:r>
            <w:r w:rsidRPr="008173C7">
              <w:rPr>
                <w:rFonts w:cs="Times New Roman"/>
                <w:lang w:val="en-US"/>
              </w:rPr>
              <w:t xml:space="preserve"> </w:t>
            </w:r>
            <w:r w:rsidRPr="008173C7">
              <w:rPr>
                <w:rFonts w:cs="Times New Roman"/>
                <w:i/>
                <w:szCs w:val="20"/>
                <w:lang w:val="en-US"/>
              </w:rPr>
              <w:t xml:space="preserve">inspired </w:t>
            </w:r>
            <w:r w:rsidRPr="000E7B22">
              <w:rPr>
                <w:rFonts w:cs="Times New Roman"/>
                <w:szCs w:val="20"/>
                <w:lang w:val="en-US"/>
              </w:rPr>
              <w:t xml:space="preserve">by </w:t>
            </w:r>
            <w:r w:rsidR="00DA7E42" w:rsidRPr="000E7B22">
              <w:rPr>
                <w:rFonts w:cs="Times New Roman"/>
                <w:szCs w:val="24"/>
                <w:lang w:val="en-US"/>
              </w:rPr>
              <w:t xml:space="preserve">Almeida </w:t>
            </w:r>
            <w:r w:rsidR="000E7B22" w:rsidRPr="000E7B22">
              <w:rPr>
                <w:rFonts w:cs="Times New Roman"/>
                <w:szCs w:val="24"/>
                <w:lang w:val="en-US"/>
              </w:rPr>
              <w:t>and</w:t>
            </w:r>
            <w:r w:rsidR="00DA7E42" w:rsidRPr="000E7B22">
              <w:rPr>
                <w:rFonts w:cs="Times New Roman"/>
                <w:szCs w:val="24"/>
                <w:lang w:val="en-US"/>
              </w:rPr>
              <w:t xml:space="preserve"> Báscolo </w:t>
            </w:r>
            <w:r w:rsidR="00ED48CC" w:rsidRPr="000E7B22">
              <w:rPr>
                <w:rFonts w:cs="Times New Roman"/>
                <w:szCs w:val="24"/>
                <w:lang w:val="en-US"/>
              </w:rPr>
              <w:t>(</w:t>
            </w:r>
            <w:r w:rsidR="00DA7E42" w:rsidRPr="000E7B22">
              <w:rPr>
                <w:rFonts w:cs="Times New Roman"/>
                <w:szCs w:val="24"/>
                <w:lang w:val="en-US"/>
              </w:rPr>
              <w:t>2006)</w:t>
            </w:r>
            <w:r w:rsidRPr="000E7B22">
              <w:rPr>
                <w:rFonts w:cs="Times New Roman"/>
                <w:szCs w:val="20"/>
                <w:lang w:val="en-US"/>
              </w:rPr>
              <w:t xml:space="preserve"> rationale and instrumental</w:t>
            </w:r>
            <w:r w:rsidRPr="008173C7">
              <w:rPr>
                <w:rFonts w:cs="Times New Roman"/>
                <w:i/>
                <w:szCs w:val="20"/>
                <w:lang w:val="en-US"/>
              </w:rPr>
              <w:t xml:space="preserve"> use of knowledge to formulate policies or support decision-making</w:t>
            </w:r>
          </w:p>
        </w:tc>
        <w:tc>
          <w:tcPr>
            <w:tcW w:w="6912" w:type="dxa"/>
          </w:tcPr>
          <w:p w14:paraId="37D6B670"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lang w:val="en-US"/>
              </w:rPr>
              <w:t>Stages of the policy cycle affected: agenda-setting, and formulation, implementation, and evaluation of policies</w:t>
            </w:r>
          </w:p>
          <w:p w14:paraId="4321AA1D" w14:textId="62B51207" w:rsidR="006D22CB" w:rsidRPr="00DA7E42" w:rsidRDefault="0016494E" w:rsidP="006D22CB">
            <w:pPr>
              <w:pStyle w:val="Paragraphedeliste"/>
              <w:spacing w:after="0" w:line="240" w:lineRule="auto"/>
              <w:ind w:left="0"/>
              <w:rPr>
                <w:rFonts w:cs="Times New Roman"/>
                <w:i/>
                <w:lang w:val="en-US"/>
              </w:rPr>
            </w:pPr>
            <w:r>
              <w:rPr>
                <w:rFonts w:cs="Times New Roman"/>
                <w:i/>
              </w:rPr>
              <w:t>(Cozzens and</w:t>
            </w:r>
            <w:r w:rsidR="00DA7E42" w:rsidRPr="00DA7E42">
              <w:rPr>
                <w:rFonts w:cs="Times New Roman"/>
                <w:i/>
              </w:rPr>
              <w:t xml:space="preserve"> Snoek 2010)</w:t>
            </w:r>
          </w:p>
          <w:p w14:paraId="7D87F75E" w14:textId="77777777" w:rsidR="006D22CB" w:rsidRPr="008173C7" w:rsidRDefault="006D22CB" w:rsidP="006D22CB">
            <w:pPr>
              <w:pStyle w:val="Paragraphedeliste"/>
              <w:numPr>
                <w:ilvl w:val="0"/>
                <w:numId w:val="6"/>
              </w:numPr>
              <w:spacing w:after="0" w:line="240" w:lineRule="auto"/>
              <w:ind w:left="0" w:hanging="205"/>
              <w:rPr>
                <w:rFonts w:cs="Times New Roman"/>
                <w:i/>
                <w:szCs w:val="20"/>
                <w:lang w:val="en-US"/>
              </w:rPr>
            </w:pPr>
            <w:r w:rsidRPr="008173C7">
              <w:rPr>
                <w:rFonts w:cs="Times New Roman"/>
                <w:lang w:val="en-US"/>
              </w:rPr>
              <w:t>Territorial scale of policies</w:t>
            </w:r>
          </w:p>
          <w:p w14:paraId="6429D35F" w14:textId="77777777" w:rsidR="006D22CB" w:rsidRPr="008173C7" w:rsidRDefault="006D22CB" w:rsidP="006D22CB">
            <w:pPr>
              <w:pStyle w:val="Paragraphedeliste"/>
              <w:spacing w:after="0" w:line="240" w:lineRule="auto"/>
              <w:ind w:left="0"/>
              <w:rPr>
                <w:rFonts w:cs="Times New Roman"/>
                <w:i/>
                <w:szCs w:val="20"/>
                <w:lang w:val="en-US"/>
              </w:rPr>
            </w:pPr>
            <w:r w:rsidRPr="008173C7">
              <w:rPr>
                <w:rFonts w:cs="Times New Roman"/>
                <w:i/>
                <w:szCs w:val="20"/>
                <w:lang w:val="en-US"/>
              </w:rPr>
              <w:t>(insights from territorial embeddedness reported in cases)</w:t>
            </w:r>
          </w:p>
          <w:p w14:paraId="339ED807"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lang w:val="en-US"/>
              </w:rPr>
              <w:t xml:space="preserve">Relevance and novelty of the solution provided for policy </w:t>
            </w:r>
          </w:p>
          <w:p w14:paraId="6FD24953" w14:textId="097028DF" w:rsidR="006D22CB" w:rsidRPr="00DA7E42" w:rsidRDefault="006D22CB" w:rsidP="00DA7E42">
            <w:pPr>
              <w:pStyle w:val="Paragraphedeliste"/>
              <w:spacing w:after="0" w:line="240" w:lineRule="auto"/>
              <w:ind w:left="0"/>
              <w:rPr>
                <w:rFonts w:cs="Times New Roman"/>
                <w:i/>
                <w:lang w:val="en-US"/>
              </w:rPr>
            </w:pPr>
            <w:r w:rsidRPr="00DA7E42">
              <w:rPr>
                <w:rFonts w:cs="Times New Roman"/>
                <w:i/>
                <w:szCs w:val="20"/>
                <w:lang w:val="en-US"/>
              </w:rPr>
              <w:t>(</w:t>
            </w:r>
            <w:r w:rsidR="00DA7E42" w:rsidRPr="00DA7E42">
              <w:rPr>
                <w:rFonts w:cs="Times New Roman"/>
                <w:i/>
                <w:lang w:val="en-US"/>
              </w:rPr>
              <w:t>Cash et al. 2003</w:t>
            </w:r>
            <w:r w:rsidRPr="00DA7E42">
              <w:rPr>
                <w:rFonts w:cs="Times New Roman"/>
                <w:i/>
                <w:szCs w:val="20"/>
                <w:lang w:val="en-US"/>
              </w:rPr>
              <w:t>, and insights from the research outputs depicted in the pilot cases)</w:t>
            </w:r>
          </w:p>
        </w:tc>
      </w:tr>
      <w:tr w:rsidR="00771BF6" w:rsidRPr="00921D03" w14:paraId="5DC2E71A" w14:textId="77777777" w:rsidTr="006D22CB">
        <w:tc>
          <w:tcPr>
            <w:tcW w:w="2268" w:type="dxa"/>
          </w:tcPr>
          <w:p w14:paraId="3B82C69E" w14:textId="77777777" w:rsidR="006D22CB" w:rsidRPr="008173C7" w:rsidRDefault="006D22CB" w:rsidP="006D22CB">
            <w:pPr>
              <w:spacing w:after="0" w:line="240" w:lineRule="auto"/>
              <w:rPr>
                <w:rFonts w:cs="Times New Roman"/>
                <w:lang w:val="en-US"/>
              </w:rPr>
            </w:pPr>
            <w:r w:rsidRPr="008173C7">
              <w:rPr>
                <w:rFonts w:cs="Times New Roman"/>
                <w:lang w:val="en-US"/>
              </w:rPr>
              <w:t>Long-term percolation of ideas</w:t>
            </w:r>
          </w:p>
          <w:p w14:paraId="230A7A7C" w14:textId="3E1EF589" w:rsidR="006D22CB" w:rsidRPr="008173C7" w:rsidRDefault="006D22CB" w:rsidP="000E7B22">
            <w:pPr>
              <w:spacing w:after="0" w:line="240" w:lineRule="auto"/>
              <w:rPr>
                <w:rFonts w:cs="Times New Roman"/>
                <w:bCs/>
                <w:lang w:val="en-US"/>
              </w:rPr>
            </w:pPr>
            <w:r w:rsidRPr="008173C7">
              <w:rPr>
                <w:rFonts w:cs="Times New Roman"/>
                <w:i/>
                <w:szCs w:val="20"/>
                <w:lang w:val="en-US"/>
              </w:rPr>
              <w:t xml:space="preserve">inspired </w:t>
            </w:r>
            <w:r w:rsidRPr="000E7B22">
              <w:rPr>
                <w:rFonts w:cs="Times New Roman"/>
                <w:i/>
                <w:szCs w:val="20"/>
                <w:lang w:val="en-US"/>
              </w:rPr>
              <w:t xml:space="preserve">by </w:t>
            </w:r>
            <w:r w:rsidR="00DA7E42" w:rsidRPr="000E7B22">
              <w:rPr>
                <w:rFonts w:cs="Times New Roman"/>
                <w:i/>
                <w:szCs w:val="24"/>
                <w:lang w:val="en-US"/>
              </w:rPr>
              <w:t xml:space="preserve">Almeida </w:t>
            </w:r>
            <w:r w:rsidR="000E7B22" w:rsidRPr="000E7B22">
              <w:rPr>
                <w:rFonts w:cs="Times New Roman"/>
                <w:i/>
                <w:szCs w:val="24"/>
                <w:lang w:val="en-US"/>
              </w:rPr>
              <w:t>and</w:t>
            </w:r>
            <w:r w:rsidR="00DA7E42" w:rsidRPr="000E7B22">
              <w:rPr>
                <w:rFonts w:cs="Times New Roman"/>
                <w:i/>
                <w:szCs w:val="24"/>
                <w:lang w:val="en-US"/>
              </w:rPr>
              <w:t xml:space="preserve"> Báscolo</w:t>
            </w:r>
            <w:r w:rsidR="00DA7E42" w:rsidRPr="00ED48CC">
              <w:rPr>
                <w:rFonts w:cs="Times New Roman"/>
                <w:szCs w:val="24"/>
                <w:lang w:val="en-US"/>
              </w:rPr>
              <w:t xml:space="preserve"> </w:t>
            </w:r>
            <w:r w:rsidR="00ED48CC" w:rsidRPr="00ED48CC">
              <w:rPr>
                <w:rFonts w:cs="Times New Roman"/>
                <w:szCs w:val="24"/>
                <w:lang w:val="en-US"/>
              </w:rPr>
              <w:t>(</w:t>
            </w:r>
            <w:r w:rsidR="00DA7E42" w:rsidRPr="00ED48CC">
              <w:rPr>
                <w:rFonts w:cs="Times New Roman"/>
                <w:szCs w:val="24"/>
                <w:lang w:val="en-US"/>
              </w:rPr>
              <w:t>2006)</w:t>
            </w:r>
            <w:r w:rsidRPr="008173C7">
              <w:rPr>
                <w:rFonts w:cs="Times New Roman"/>
                <w:i/>
                <w:szCs w:val="20"/>
                <w:lang w:val="en-US"/>
              </w:rPr>
              <w:t xml:space="preserve"> conceptual use of knowledge to deepen the understanding of issues or policies</w:t>
            </w:r>
          </w:p>
        </w:tc>
        <w:tc>
          <w:tcPr>
            <w:tcW w:w="6912" w:type="dxa"/>
          </w:tcPr>
          <w:p w14:paraId="6409ADC7" w14:textId="77777777" w:rsidR="006D22CB" w:rsidRPr="008173C7" w:rsidRDefault="006D22CB" w:rsidP="006D22CB">
            <w:pPr>
              <w:pStyle w:val="Paragraphedeliste"/>
              <w:numPr>
                <w:ilvl w:val="0"/>
                <w:numId w:val="6"/>
              </w:numPr>
              <w:spacing w:after="0" w:line="240" w:lineRule="auto"/>
              <w:ind w:left="0" w:hanging="205"/>
              <w:rPr>
                <w:rFonts w:cs="Times New Roman"/>
                <w:i/>
                <w:szCs w:val="20"/>
                <w:lang w:val="en-US"/>
              </w:rPr>
            </w:pPr>
            <w:r w:rsidRPr="008173C7">
              <w:rPr>
                <w:rFonts w:cs="Times New Roman"/>
                <w:lang w:val="en-US"/>
              </w:rPr>
              <w:t xml:space="preserve">Importance of knowledge in the debates </w:t>
            </w:r>
          </w:p>
          <w:p w14:paraId="625C971D" w14:textId="3BDE842B" w:rsidR="006D22CB" w:rsidRPr="0016494E" w:rsidRDefault="0016494E" w:rsidP="006D22CB">
            <w:pPr>
              <w:pStyle w:val="Paragraphedeliste"/>
              <w:spacing w:after="0" w:line="240" w:lineRule="auto"/>
              <w:ind w:left="0"/>
              <w:rPr>
                <w:rFonts w:cs="Times New Roman"/>
                <w:i/>
                <w:szCs w:val="20"/>
                <w:lang w:val="en-US"/>
              </w:rPr>
            </w:pPr>
            <w:r w:rsidRPr="0016494E">
              <w:rPr>
                <w:rFonts w:cs="Times New Roman"/>
                <w:i/>
                <w:lang w:val="en-US"/>
              </w:rPr>
              <w:t>(Cash et al. 2003; Davies and</w:t>
            </w:r>
            <w:r w:rsidR="00DA7E42" w:rsidRPr="0016494E">
              <w:rPr>
                <w:rFonts w:cs="Times New Roman"/>
                <w:i/>
                <w:lang w:val="en-US"/>
              </w:rPr>
              <w:t xml:space="preserve"> Nutley 2008; Radaelli 1995)</w:t>
            </w:r>
          </w:p>
          <w:p w14:paraId="151E1BFD" w14:textId="77777777" w:rsidR="006D22CB" w:rsidRPr="008173C7" w:rsidRDefault="006D22CB" w:rsidP="006D22CB">
            <w:pPr>
              <w:pStyle w:val="Paragraphedeliste"/>
              <w:numPr>
                <w:ilvl w:val="0"/>
                <w:numId w:val="6"/>
              </w:numPr>
              <w:spacing w:after="0" w:line="240" w:lineRule="auto"/>
              <w:ind w:left="0" w:hanging="205"/>
              <w:rPr>
                <w:rFonts w:cs="Times New Roman"/>
                <w:i/>
                <w:szCs w:val="20"/>
                <w:lang w:val="en-US"/>
              </w:rPr>
            </w:pPr>
            <w:r w:rsidRPr="008173C7">
              <w:rPr>
                <w:rFonts w:cs="Times New Roman"/>
                <w:lang w:val="en-US"/>
              </w:rPr>
              <w:t>Circulation of ideas in later studies/debates and broader spheres</w:t>
            </w:r>
            <w:r w:rsidRPr="008173C7">
              <w:rPr>
                <w:rFonts w:cs="Times New Roman"/>
                <w:i/>
                <w:szCs w:val="20"/>
                <w:lang w:val="en-US"/>
              </w:rPr>
              <w:t xml:space="preserve"> </w:t>
            </w:r>
          </w:p>
          <w:p w14:paraId="3F247454" w14:textId="0C225E11" w:rsidR="006D22CB" w:rsidRPr="00DA7E42" w:rsidRDefault="0016494E" w:rsidP="006D22CB">
            <w:pPr>
              <w:pStyle w:val="Paragraphedeliste"/>
              <w:spacing w:after="0" w:line="240" w:lineRule="auto"/>
              <w:ind w:left="0"/>
              <w:rPr>
                <w:rFonts w:cs="Times New Roman"/>
                <w:i/>
                <w:szCs w:val="20"/>
                <w:lang w:val="en-US"/>
              </w:rPr>
            </w:pPr>
            <w:r>
              <w:rPr>
                <w:rFonts w:cs="Times New Roman"/>
                <w:i/>
                <w:szCs w:val="24"/>
                <w:lang w:val="en-US"/>
              </w:rPr>
              <w:t>(Almeida and</w:t>
            </w:r>
            <w:r w:rsidR="00DA7E42" w:rsidRPr="00DA7E42">
              <w:rPr>
                <w:rFonts w:cs="Times New Roman"/>
                <w:i/>
                <w:szCs w:val="24"/>
                <w:lang w:val="en-US"/>
              </w:rPr>
              <w:t xml:space="preserve"> Báscolo 2006; Weiss 1980</w:t>
            </w:r>
            <w:r w:rsidR="006D22CB" w:rsidRPr="00DA7E42">
              <w:rPr>
                <w:rFonts w:cs="Times New Roman"/>
                <w:i/>
                <w:szCs w:val="20"/>
                <w:lang w:val="en-US"/>
              </w:rPr>
              <w:t xml:space="preserve">; and insights from cases on scaling-out of impacts) </w:t>
            </w:r>
          </w:p>
          <w:p w14:paraId="748F95ED"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lang w:val="en-US"/>
              </w:rPr>
              <w:t xml:space="preserve">Long-term relevance of ideas and non-distortion of messages </w:t>
            </w:r>
          </w:p>
          <w:p w14:paraId="43779604" w14:textId="0A54E0C1" w:rsidR="006D22CB" w:rsidRPr="008173C7" w:rsidRDefault="00DA7E42" w:rsidP="00DA7E42">
            <w:pPr>
              <w:pStyle w:val="Paragraphedeliste"/>
              <w:spacing w:after="0" w:line="240" w:lineRule="auto"/>
              <w:ind w:left="0"/>
              <w:rPr>
                <w:rFonts w:cs="Times New Roman"/>
                <w:lang w:val="en-US"/>
              </w:rPr>
            </w:pPr>
            <w:r w:rsidRPr="00DA7E42">
              <w:rPr>
                <w:rFonts w:cs="Times New Roman"/>
                <w:i/>
                <w:lang w:val="en-US"/>
              </w:rPr>
              <w:t>(Weiss 1980</w:t>
            </w:r>
            <w:r w:rsidR="006D22CB" w:rsidRPr="00DA7E42">
              <w:rPr>
                <w:rFonts w:cs="Times New Roman"/>
                <w:i/>
                <w:szCs w:val="20"/>
                <w:lang w:val="en-US"/>
              </w:rPr>
              <w:t>, and insights from scaling-out and scaling-up effects reported in second-level impacts</w:t>
            </w:r>
            <w:r w:rsidR="006D22CB" w:rsidRPr="008173C7">
              <w:rPr>
                <w:rFonts w:cs="Times New Roman"/>
                <w:i/>
                <w:szCs w:val="20"/>
                <w:lang w:val="en-US"/>
              </w:rPr>
              <w:t xml:space="preserve"> of pilot cases)</w:t>
            </w:r>
          </w:p>
        </w:tc>
      </w:tr>
      <w:tr w:rsidR="00771BF6" w:rsidRPr="00921D03" w14:paraId="38E56DDD" w14:textId="77777777" w:rsidTr="006D22CB">
        <w:tc>
          <w:tcPr>
            <w:tcW w:w="2268" w:type="dxa"/>
          </w:tcPr>
          <w:p w14:paraId="1928AD82" w14:textId="77777777" w:rsidR="006D22CB" w:rsidRPr="008173C7" w:rsidRDefault="006D22CB" w:rsidP="006D22CB">
            <w:pPr>
              <w:spacing w:after="0" w:line="240" w:lineRule="auto"/>
              <w:rPr>
                <w:rFonts w:cs="Times New Roman"/>
                <w:i/>
                <w:szCs w:val="20"/>
                <w:lang w:val="en-US"/>
              </w:rPr>
            </w:pPr>
            <w:r w:rsidRPr="008173C7">
              <w:rPr>
                <w:rFonts w:cs="Times New Roman"/>
                <w:lang w:val="en-US"/>
              </w:rPr>
              <w:t>S</w:t>
            </w:r>
            <w:r w:rsidRPr="008173C7" w:rsidDel="00B70EAB">
              <w:rPr>
                <w:rFonts w:cs="Times New Roman"/>
                <w:lang w:val="en-US"/>
              </w:rPr>
              <w:t>ocietal importance of the policy domain at stakes</w:t>
            </w:r>
          </w:p>
          <w:p w14:paraId="48951EA1" w14:textId="3D5652FB" w:rsidR="006D22CB" w:rsidRPr="008173C7" w:rsidRDefault="006D22CB" w:rsidP="00ED48CC">
            <w:pPr>
              <w:spacing w:after="0" w:line="240" w:lineRule="auto"/>
              <w:rPr>
                <w:rFonts w:cs="Times New Roman"/>
                <w:bCs/>
                <w:lang w:val="en-US"/>
              </w:rPr>
            </w:pPr>
            <w:r w:rsidRPr="008173C7">
              <w:rPr>
                <w:rFonts w:cs="Times New Roman"/>
                <w:i/>
                <w:szCs w:val="20"/>
                <w:lang w:val="en-US"/>
              </w:rPr>
              <w:t xml:space="preserve">inspired </w:t>
            </w:r>
            <w:r w:rsidRPr="00ED48CC">
              <w:rPr>
                <w:rFonts w:cs="Times New Roman"/>
                <w:i/>
                <w:szCs w:val="20"/>
                <w:lang w:val="en-US"/>
              </w:rPr>
              <w:t xml:space="preserve">by </w:t>
            </w:r>
            <w:r w:rsidR="00DA7E42" w:rsidRPr="00ED48CC">
              <w:rPr>
                <w:rFonts w:cs="Times New Roman"/>
                <w:i/>
                <w:lang w:val="en-US"/>
              </w:rPr>
              <w:t>Kingdon</w:t>
            </w:r>
            <w:r w:rsidR="00ED48CC" w:rsidRPr="00ED48CC">
              <w:rPr>
                <w:rFonts w:cs="Times New Roman"/>
                <w:i/>
                <w:lang w:val="en-US"/>
              </w:rPr>
              <w:t>'s</w:t>
            </w:r>
            <w:r w:rsidR="00DA7E42" w:rsidRPr="00ED48CC">
              <w:rPr>
                <w:rFonts w:cs="Times New Roman"/>
                <w:i/>
                <w:lang w:val="en-US"/>
              </w:rPr>
              <w:t xml:space="preserve"> </w:t>
            </w:r>
            <w:r w:rsidR="00ED48CC" w:rsidRPr="00ED48CC">
              <w:rPr>
                <w:rFonts w:cs="Times New Roman"/>
                <w:i/>
                <w:lang w:val="en-US"/>
              </w:rPr>
              <w:t>(</w:t>
            </w:r>
            <w:r w:rsidR="00DA7E42" w:rsidRPr="00ED48CC">
              <w:rPr>
                <w:rFonts w:cs="Times New Roman"/>
                <w:i/>
                <w:lang w:val="en-US"/>
              </w:rPr>
              <w:t>1984)</w:t>
            </w:r>
            <w:r w:rsidRPr="00ED48CC">
              <w:rPr>
                <w:rFonts w:cs="Times New Roman"/>
                <w:i/>
                <w:szCs w:val="20"/>
                <w:lang w:val="en-US"/>
              </w:rPr>
              <w:t xml:space="preserve"> problem</w:t>
            </w:r>
            <w:r w:rsidRPr="008173C7">
              <w:rPr>
                <w:rFonts w:cs="Times New Roman"/>
                <w:i/>
                <w:szCs w:val="20"/>
                <w:lang w:val="en-US"/>
              </w:rPr>
              <w:t>, policy and political streams</w:t>
            </w:r>
          </w:p>
        </w:tc>
        <w:tc>
          <w:tcPr>
            <w:tcW w:w="6912" w:type="dxa"/>
          </w:tcPr>
          <w:p w14:paraId="1BC4EE7E"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lang w:val="en-US"/>
              </w:rPr>
              <w:t xml:space="preserve">Potential gravity and systemic aspects of stake </w:t>
            </w:r>
          </w:p>
          <w:p w14:paraId="6CFE0FBE" w14:textId="2B3556DC" w:rsidR="006D22CB" w:rsidRPr="00DA7E42" w:rsidRDefault="0016494E" w:rsidP="006D22CB">
            <w:pPr>
              <w:pStyle w:val="Paragraphedeliste"/>
              <w:spacing w:after="0" w:line="240" w:lineRule="auto"/>
              <w:ind w:left="0"/>
              <w:rPr>
                <w:rFonts w:cs="Times New Roman"/>
                <w:i/>
                <w:lang w:val="en-US"/>
              </w:rPr>
            </w:pPr>
            <w:r>
              <w:rPr>
                <w:rFonts w:cs="Times New Roman"/>
                <w:i/>
                <w:lang w:val="en-US"/>
              </w:rPr>
              <w:t>(Renkow and</w:t>
            </w:r>
            <w:r w:rsidR="00DA7E42" w:rsidRPr="00DA7E42">
              <w:rPr>
                <w:rFonts w:cs="Times New Roman"/>
                <w:i/>
                <w:lang w:val="en-US"/>
              </w:rPr>
              <w:t xml:space="preserve"> Byerlee 2014</w:t>
            </w:r>
            <w:r w:rsidR="006D22CB" w:rsidRPr="00DA7E42">
              <w:rPr>
                <w:rFonts w:cs="Times New Roman"/>
                <w:i/>
                <w:szCs w:val="20"/>
                <w:lang w:val="en-US"/>
              </w:rPr>
              <w:t>, and insights from the pilot case on the sheep scrapie sanitary crisis)</w:t>
            </w:r>
          </w:p>
          <w:p w14:paraId="69AEE029"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lang w:val="en-US"/>
              </w:rPr>
              <w:t xml:space="preserve">Magnitude of the policy and affected population </w:t>
            </w:r>
          </w:p>
          <w:p w14:paraId="74DA73B6" w14:textId="57E12691" w:rsidR="006D22CB" w:rsidRPr="00ED48CC" w:rsidRDefault="0016494E" w:rsidP="006D22CB">
            <w:pPr>
              <w:pStyle w:val="Paragraphedeliste"/>
              <w:spacing w:after="0" w:line="240" w:lineRule="auto"/>
              <w:ind w:left="0"/>
              <w:rPr>
                <w:rFonts w:cs="Times New Roman"/>
                <w:i/>
                <w:lang w:val="en-US"/>
              </w:rPr>
            </w:pPr>
            <w:r>
              <w:rPr>
                <w:rFonts w:cs="Times New Roman"/>
                <w:i/>
              </w:rPr>
              <w:t>(Renkow and</w:t>
            </w:r>
            <w:r w:rsidR="00DA7E42" w:rsidRPr="00ED48CC">
              <w:rPr>
                <w:rFonts w:cs="Times New Roman"/>
                <w:i/>
              </w:rPr>
              <w:t xml:space="preserve"> Byerlee 2014)</w:t>
            </w:r>
          </w:p>
          <w:p w14:paraId="7B95FFC1" w14:textId="77777777" w:rsidR="006D22CB" w:rsidRPr="008173C7" w:rsidRDefault="006D22CB" w:rsidP="006D22CB">
            <w:pPr>
              <w:pStyle w:val="Paragraphedeliste"/>
              <w:numPr>
                <w:ilvl w:val="0"/>
                <w:numId w:val="6"/>
              </w:numPr>
              <w:spacing w:after="0" w:line="240" w:lineRule="auto"/>
              <w:ind w:left="0" w:hanging="205"/>
              <w:rPr>
                <w:rFonts w:cs="Times New Roman"/>
                <w:lang w:val="en-US"/>
              </w:rPr>
            </w:pPr>
            <w:r w:rsidRPr="008173C7">
              <w:rPr>
                <w:rFonts w:cs="Times New Roman"/>
                <w:lang w:val="en-US"/>
              </w:rPr>
              <w:t xml:space="preserve">Societal concern </w:t>
            </w:r>
          </w:p>
          <w:p w14:paraId="44818C05" w14:textId="2B2BA6B4" w:rsidR="006D22CB" w:rsidRPr="00DA7E42" w:rsidRDefault="00DA7E42" w:rsidP="00ED48CC">
            <w:pPr>
              <w:pStyle w:val="Paragraphedeliste"/>
              <w:spacing w:after="0" w:line="240" w:lineRule="auto"/>
              <w:ind w:left="0"/>
              <w:rPr>
                <w:rFonts w:cs="Times New Roman"/>
                <w:i/>
                <w:lang w:val="en-US"/>
              </w:rPr>
            </w:pPr>
            <w:r w:rsidRPr="00DA7E42">
              <w:rPr>
                <w:rFonts w:cs="Times New Roman"/>
                <w:i/>
                <w:lang w:val="en-US"/>
              </w:rPr>
              <w:t>(Kingdon 1984; Lindquist 2001</w:t>
            </w:r>
            <w:r w:rsidR="006D22CB" w:rsidRPr="00DA7E42">
              <w:rPr>
                <w:rFonts w:cs="Times New Roman"/>
                <w:i/>
                <w:szCs w:val="20"/>
                <w:lang w:val="en-US"/>
              </w:rPr>
              <w:t>; and insights from the pilot case on the sheep scrapie sanitary crisis)</w:t>
            </w:r>
          </w:p>
        </w:tc>
      </w:tr>
    </w:tbl>
    <w:p w14:paraId="5FBFB0DA" w14:textId="77777777" w:rsidR="006D22CB" w:rsidRPr="008173C7" w:rsidRDefault="006D22CB" w:rsidP="000401BB">
      <w:pPr>
        <w:spacing w:line="480" w:lineRule="auto"/>
        <w:rPr>
          <w:rFonts w:cs="Times New Roman"/>
          <w:lang w:val="en-US"/>
        </w:rPr>
      </w:pPr>
    </w:p>
    <w:p w14:paraId="1552655F" w14:textId="54419E82" w:rsidR="005B1824" w:rsidRPr="008173C7" w:rsidRDefault="00CB2E92" w:rsidP="000401BB">
      <w:pPr>
        <w:pStyle w:val="Titre3"/>
        <w:spacing w:line="480" w:lineRule="auto"/>
        <w:rPr>
          <w:rFonts w:ascii="Times New Roman" w:hAnsi="Times New Roman" w:cs="Times New Roman"/>
          <w:color w:val="auto"/>
          <w:lang w:val="en-US"/>
        </w:rPr>
      </w:pPr>
      <w:r w:rsidRPr="008173C7">
        <w:rPr>
          <w:rFonts w:ascii="Times New Roman" w:hAnsi="Times New Roman" w:cs="Times New Roman"/>
          <w:color w:val="auto"/>
          <w:lang w:val="en-US"/>
        </w:rPr>
        <w:t xml:space="preserve">2.2 </w:t>
      </w:r>
      <w:r w:rsidR="00843492" w:rsidRPr="008173C7">
        <w:rPr>
          <w:rFonts w:ascii="Times New Roman" w:hAnsi="Times New Roman" w:cs="Times New Roman"/>
          <w:color w:val="auto"/>
          <w:lang w:val="en-US"/>
        </w:rPr>
        <w:t>U</w:t>
      </w:r>
      <w:r w:rsidR="00B435FC" w:rsidRPr="008173C7">
        <w:rPr>
          <w:rFonts w:ascii="Times New Roman" w:hAnsi="Times New Roman" w:cs="Times New Roman"/>
          <w:color w:val="auto"/>
          <w:lang w:val="en-US"/>
        </w:rPr>
        <w:t>sing expert judgment</w:t>
      </w:r>
      <w:r w:rsidR="00B308C6" w:rsidRPr="008173C7">
        <w:rPr>
          <w:rFonts w:ascii="Times New Roman" w:hAnsi="Times New Roman" w:cs="Times New Roman"/>
          <w:color w:val="auto"/>
          <w:lang w:val="en-US"/>
        </w:rPr>
        <w:t>s</w:t>
      </w:r>
      <w:r w:rsidR="00B435FC" w:rsidRPr="008173C7">
        <w:rPr>
          <w:rFonts w:ascii="Times New Roman" w:hAnsi="Times New Roman" w:cs="Times New Roman"/>
          <w:color w:val="auto"/>
          <w:lang w:val="en-US"/>
        </w:rPr>
        <w:t xml:space="preserve"> to assess </w:t>
      </w:r>
      <w:r w:rsidR="005B1824" w:rsidRPr="008173C7">
        <w:rPr>
          <w:rFonts w:ascii="Times New Roman" w:hAnsi="Times New Roman" w:cs="Times New Roman"/>
          <w:color w:val="auto"/>
          <w:lang w:val="en-US"/>
        </w:rPr>
        <w:t xml:space="preserve">the </w:t>
      </w:r>
      <w:r w:rsidR="00B435FC" w:rsidRPr="008173C7">
        <w:rPr>
          <w:rFonts w:ascii="Times New Roman" w:hAnsi="Times New Roman" w:cs="Times New Roman"/>
          <w:color w:val="auto"/>
          <w:lang w:val="en-US"/>
        </w:rPr>
        <w:t>poli</w:t>
      </w:r>
      <w:r w:rsidR="00C755AF" w:rsidRPr="008173C7">
        <w:rPr>
          <w:rFonts w:ascii="Times New Roman" w:hAnsi="Times New Roman" w:cs="Times New Roman"/>
          <w:color w:val="auto"/>
          <w:lang w:val="en-US"/>
        </w:rPr>
        <w:t>tical</w:t>
      </w:r>
      <w:r w:rsidR="00B435FC" w:rsidRPr="008173C7">
        <w:rPr>
          <w:rFonts w:ascii="Times New Roman" w:hAnsi="Times New Roman" w:cs="Times New Roman"/>
          <w:color w:val="auto"/>
          <w:lang w:val="en-US"/>
        </w:rPr>
        <w:t xml:space="preserve"> impact</w:t>
      </w:r>
      <w:r w:rsidR="003F27D0" w:rsidRPr="008173C7">
        <w:rPr>
          <w:rFonts w:ascii="Times New Roman" w:hAnsi="Times New Roman" w:cs="Times New Roman"/>
          <w:color w:val="auto"/>
          <w:lang w:val="en-US"/>
        </w:rPr>
        <w:t xml:space="preserve"> </w:t>
      </w:r>
      <w:r w:rsidR="005B1824" w:rsidRPr="008173C7">
        <w:rPr>
          <w:rFonts w:ascii="Times New Roman" w:hAnsi="Times New Roman" w:cs="Times New Roman"/>
          <w:color w:val="auto"/>
          <w:lang w:val="en-US"/>
        </w:rPr>
        <w:t>of research</w:t>
      </w:r>
    </w:p>
    <w:p w14:paraId="01422FFE" w14:textId="06B64CC4" w:rsidR="00CB2E92" w:rsidRPr="008173C7" w:rsidRDefault="00CB2E92" w:rsidP="000401BB">
      <w:pPr>
        <w:spacing w:line="480" w:lineRule="auto"/>
        <w:rPr>
          <w:rFonts w:cs="Times New Roman"/>
          <w:b/>
          <w:bCs/>
          <w:u w:val="single"/>
          <w:lang w:val="en-US"/>
        </w:rPr>
      </w:pPr>
      <w:r w:rsidRPr="008173C7">
        <w:rPr>
          <w:rFonts w:cs="Times New Roman"/>
          <w:b/>
          <w:bCs/>
          <w:u w:val="single"/>
          <w:lang w:val="en-US"/>
        </w:rPr>
        <w:t>2.2.1 Rationale for using expert judgment</w:t>
      </w:r>
    </w:p>
    <w:p w14:paraId="1507BB37" w14:textId="68768F52" w:rsidR="00D65BD7" w:rsidRPr="008173C7" w:rsidRDefault="00CB2E92" w:rsidP="000401BB">
      <w:pPr>
        <w:spacing w:line="480" w:lineRule="auto"/>
        <w:rPr>
          <w:rFonts w:cs="Times New Roman"/>
          <w:lang w:val="en-US"/>
        </w:rPr>
      </w:pPr>
      <w:r w:rsidRPr="008173C7">
        <w:rPr>
          <w:rFonts w:cs="Times New Roman"/>
          <w:bCs/>
          <w:lang w:val="en-US"/>
        </w:rPr>
        <w:t>E</w:t>
      </w:r>
      <w:r w:rsidR="002F388A" w:rsidRPr="008173C7">
        <w:rPr>
          <w:rFonts w:cs="Times New Roman"/>
          <w:bCs/>
          <w:lang w:val="en-US"/>
        </w:rPr>
        <w:t>xpert panels traditionally are involved in academic career assessment</w:t>
      </w:r>
      <w:r w:rsidR="00B308C6" w:rsidRPr="008173C7">
        <w:rPr>
          <w:rFonts w:cs="Times New Roman"/>
          <w:bCs/>
          <w:lang w:val="en-US"/>
        </w:rPr>
        <w:t xml:space="preserve"> and </w:t>
      </w:r>
      <w:r w:rsidR="002F388A" w:rsidRPr="008173C7">
        <w:rPr>
          <w:rFonts w:cs="Times New Roman"/>
          <w:bCs/>
          <w:lang w:val="en-US"/>
        </w:rPr>
        <w:t>with some caveats</w:t>
      </w:r>
      <w:r w:rsidR="00B308C6" w:rsidRPr="008173C7">
        <w:rPr>
          <w:rFonts w:cs="Times New Roman"/>
          <w:bCs/>
          <w:lang w:val="en-US"/>
        </w:rPr>
        <w:t xml:space="preserve"> can</w:t>
      </w:r>
      <w:r w:rsidR="002F388A" w:rsidRPr="008173C7">
        <w:rPr>
          <w:rFonts w:cs="Times New Roman"/>
          <w:bCs/>
          <w:lang w:val="en-US"/>
        </w:rPr>
        <w:t xml:space="preserve"> be </w:t>
      </w:r>
      <w:r w:rsidR="00B308C6" w:rsidRPr="008173C7">
        <w:rPr>
          <w:rFonts w:cs="Times New Roman"/>
          <w:bCs/>
          <w:lang w:val="en-US"/>
        </w:rPr>
        <w:t xml:space="preserve">very useful </w:t>
      </w:r>
      <w:r w:rsidR="002F388A" w:rsidRPr="008173C7">
        <w:rPr>
          <w:rFonts w:cs="Times New Roman"/>
          <w:bCs/>
          <w:lang w:val="en-US"/>
        </w:rPr>
        <w:t>for assessing political impacts.</w:t>
      </w:r>
      <w:r w:rsidR="00297017" w:rsidRPr="008173C7">
        <w:rPr>
          <w:rFonts w:cs="Times New Roman"/>
          <w:bCs/>
          <w:lang w:val="en-US"/>
        </w:rPr>
        <w:t xml:space="preserve"> </w:t>
      </w:r>
      <w:r w:rsidR="00383C5A" w:rsidRPr="008173C7">
        <w:rPr>
          <w:rFonts w:cs="Times New Roman"/>
          <w:lang w:val="en-US"/>
        </w:rPr>
        <w:t>Expert p</w:t>
      </w:r>
      <w:r w:rsidR="0061407C" w:rsidRPr="008173C7">
        <w:rPr>
          <w:rFonts w:cs="Times New Roman"/>
          <w:lang w:val="en-US"/>
        </w:rPr>
        <w:t xml:space="preserve">anels are used </w:t>
      </w:r>
      <w:r w:rsidR="00A77510" w:rsidRPr="008173C7">
        <w:rPr>
          <w:rFonts w:cs="Times New Roman"/>
          <w:lang w:val="en-US"/>
        </w:rPr>
        <w:t xml:space="preserve">commonly </w:t>
      </w:r>
      <w:r w:rsidR="0061407C" w:rsidRPr="008173C7">
        <w:rPr>
          <w:rFonts w:cs="Times New Roman"/>
          <w:lang w:val="en-US"/>
        </w:rPr>
        <w:t xml:space="preserve">to evaluate </w:t>
      </w:r>
      <w:r w:rsidR="005910D1" w:rsidRPr="008173C7">
        <w:rPr>
          <w:rFonts w:cs="Times New Roman"/>
          <w:lang w:val="en-US"/>
        </w:rPr>
        <w:t xml:space="preserve">research </w:t>
      </w:r>
      <w:r w:rsidR="0061407C" w:rsidRPr="008173C7">
        <w:rPr>
          <w:rFonts w:cs="Times New Roman"/>
          <w:lang w:val="en-US"/>
        </w:rPr>
        <w:t xml:space="preserve">projects and </w:t>
      </w:r>
      <w:r w:rsidR="007F3E9F" w:rsidRPr="008173C7">
        <w:rPr>
          <w:rFonts w:cs="Times New Roman"/>
          <w:lang w:val="en-US"/>
        </w:rPr>
        <w:t>programs</w:t>
      </w:r>
      <w:r w:rsidR="0061407C" w:rsidRPr="008173C7">
        <w:rPr>
          <w:rFonts w:cs="Times New Roman"/>
          <w:lang w:val="en-US"/>
        </w:rPr>
        <w:t xml:space="preserve"> on the </w:t>
      </w:r>
      <w:r w:rsidR="00B308C6" w:rsidRPr="008173C7">
        <w:rPr>
          <w:rFonts w:cs="Times New Roman"/>
          <w:lang w:val="en-US"/>
        </w:rPr>
        <w:t xml:space="preserve">premise </w:t>
      </w:r>
      <w:r w:rsidR="0061407C" w:rsidRPr="008173C7">
        <w:rPr>
          <w:rFonts w:cs="Times New Roman"/>
          <w:lang w:val="en-US"/>
        </w:rPr>
        <w:t xml:space="preserve">that they </w:t>
      </w:r>
      <w:r w:rsidR="00B308C6" w:rsidRPr="008173C7">
        <w:rPr>
          <w:rFonts w:cs="Times New Roman"/>
          <w:lang w:val="en-US"/>
        </w:rPr>
        <w:t xml:space="preserve">provide the process with </w:t>
      </w:r>
      <w:r w:rsidR="0061407C" w:rsidRPr="008173C7">
        <w:rPr>
          <w:rFonts w:cs="Times New Roman"/>
          <w:lang w:val="en-US"/>
        </w:rPr>
        <w:t xml:space="preserve">status and credibility </w:t>
      </w:r>
      <w:r w:rsidR="00DA7E42" w:rsidRPr="00DA7E42">
        <w:rPr>
          <w:rFonts w:cs="Times New Roman"/>
          <w:lang w:val="en-US"/>
        </w:rPr>
        <w:t>(Arnold et al. 2005; Boaz et al. 2009)</w:t>
      </w:r>
      <w:r w:rsidR="0061407C" w:rsidRPr="008173C7">
        <w:rPr>
          <w:rFonts w:cs="Times New Roman"/>
          <w:lang w:val="en-US"/>
        </w:rPr>
        <w:t xml:space="preserve">. These methods are </w:t>
      </w:r>
      <w:r w:rsidR="005910D1" w:rsidRPr="008173C7">
        <w:rPr>
          <w:rFonts w:cs="Times New Roman"/>
          <w:lang w:val="en-US"/>
        </w:rPr>
        <w:t xml:space="preserve">most </w:t>
      </w:r>
      <w:r w:rsidR="005C4A9C" w:rsidRPr="008173C7">
        <w:rPr>
          <w:rFonts w:cs="Times New Roman"/>
          <w:lang w:val="en-US"/>
        </w:rPr>
        <w:t xml:space="preserve">frequent </w:t>
      </w:r>
      <w:r w:rsidR="00B308C6" w:rsidRPr="008173C7">
        <w:rPr>
          <w:rFonts w:cs="Times New Roman"/>
          <w:lang w:val="en-US"/>
        </w:rPr>
        <w:t xml:space="preserve">in the context of </w:t>
      </w:r>
      <w:r w:rsidR="000A0602" w:rsidRPr="008173C7">
        <w:rPr>
          <w:rFonts w:cs="Times New Roman"/>
          <w:lang w:val="en-US"/>
        </w:rPr>
        <w:t>peer review</w:t>
      </w:r>
      <w:r w:rsidR="0061407C" w:rsidRPr="008173C7">
        <w:rPr>
          <w:rFonts w:cs="Times New Roman"/>
          <w:lang w:val="en-US"/>
        </w:rPr>
        <w:t xml:space="preserve"> to evaluate the </w:t>
      </w:r>
      <w:r w:rsidR="005043B5" w:rsidRPr="008173C7">
        <w:rPr>
          <w:rFonts w:cs="Times New Roman"/>
          <w:lang w:val="en-US"/>
        </w:rPr>
        <w:t xml:space="preserve">academic </w:t>
      </w:r>
      <w:r w:rsidR="0061407C" w:rsidRPr="008173C7">
        <w:rPr>
          <w:rFonts w:cs="Times New Roman"/>
          <w:lang w:val="en-US"/>
        </w:rPr>
        <w:t>quality of research</w:t>
      </w:r>
      <w:r w:rsidR="00B805DE" w:rsidRPr="008173C7">
        <w:rPr>
          <w:rFonts w:cs="Times New Roman"/>
          <w:lang w:val="en-US"/>
        </w:rPr>
        <w:t xml:space="preserve"> proposals</w:t>
      </w:r>
      <w:r w:rsidR="005043B5" w:rsidRPr="008173C7">
        <w:rPr>
          <w:rFonts w:cs="Times New Roman"/>
          <w:lang w:val="en-US"/>
        </w:rPr>
        <w:t>, careers</w:t>
      </w:r>
      <w:r w:rsidR="00546D48" w:rsidRPr="008173C7">
        <w:rPr>
          <w:rFonts w:cs="Times New Roman"/>
          <w:lang w:val="en-US"/>
        </w:rPr>
        <w:t xml:space="preserve"> or papers</w:t>
      </w:r>
      <w:r w:rsidR="00555279" w:rsidRPr="008173C7">
        <w:rPr>
          <w:rFonts w:cs="Times New Roman"/>
          <w:lang w:val="en-US"/>
        </w:rPr>
        <w:t xml:space="preserve"> </w:t>
      </w:r>
      <w:r w:rsidR="0016494E">
        <w:rPr>
          <w:rFonts w:cs="Times New Roman"/>
          <w:lang w:val="en-US"/>
        </w:rPr>
        <w:t>(Ruegg and</w:t>
      </w:r>
      <w:r w:rsidR="00DA7E42" w:rsidRPr="00DA7E42">
        <w:rPr>
          <w:rFonts w:cs="Times New Roman"/>
          <w:lang w:val="en-US"/>
        </w:rPr>
        <w:t xml:space="preserve"> Feller 2003)</w:t>
      </w:r>
      <w:r w:rsidR="005043B5" w:rsidRPr="008173C7">
        <w:rPr>
          <w:rFonts w:cs="Times New Roman"/>
          <w:lang w:val="en-US"/>
        </w:rPr>
        <w:t>.</w:t>
      </w:r>
      <w:r w:rsidR="00D65BD7" w:rsidRPr="008173C7">
        <w:rPr>
          <w:rFonts w:cs="Times New Roman"/>
          <w:lang w:val="en-US"/>
        </w:rPr>
        <w:t xml:space="preserve"> </w:t>
      </w:r>
      <w:r w:rsidR="00E30A38" w:rsidRPr="008173C7">
        <w:rPr>
          <w:rFonts w:cs="Times New Roman"/>
          <w:lang w:val="en-US"/>
        </w:rPr>
        <w:t>However</w:t>
      </w:r>
      <w:r w:rsidR="00690860" w:rsidRPr="008173C7">
        <w:rPr>
          <w:rFonts w:cs="Times New Roman"/>
          <w:lang w:val="en-US"/>
        </w:rPr>
        <w:t>,</w:t>
      </w:r>
      <w:r w:rsidR="00E30A38" w:rsidRPr="008173C7">
        <w:rPr>
          <w:rFonts w:cs="Times New Roman"/>
          <w:lang w:val="en-US"/>
        </w:rPr>
        <w:t xml:space="preserve"> expert</w:t>
      </w:r>
      <w:r w:rsidR="001E5684" w:rsidRPr="008173C7">
        <w:rPr>
          <w:rFonts w:cs="Times New Roman"/>
          <w:lang w:val="en-US"/>
        </w:rPr>
        <w:t>s</w:t>
      </w:r>
      <w:r w:rsidR="00E30A38" w:rsidRPr="008173C7">
        <w:rPr>
          <w:rFonts w:cs="Times New Roman"/>
          <w:lang w:val="en-US"/>
        </w:rPr>
        <w:t xml:space="preserve"> </w:t>
      </w:r>
      <w:r w:rsidR="001E5684" w:rsidRPr="008173C7">
        <w:rPr>
          <w:rFonts w:cs="Times New Roman"/>
          <w:lang w:val="en-US"/>
        </w:rPr>
        <w:t>are</w:t>
      </w:r>
      <w:r w:rsidR="00E30A38" w:rsidRPr="008173C7">
        <w:rPr>
          <w:rFonts w:cs="Times New Roman"/>
          <w:lang w:val="en-US"/>
        </w:rPr>
        <w:t xml:space="preserve"> used </w:t>
      </w:r>
      <w:r w:rsidR="005C4A9C" w:rsidRPr="008173C7">
        <w:rPr>
          <w:rFonts w:cs="Times New Roman"/>
          <w:lang w:val="en-US"/>
        </w:rPr>
        <w:t xml:space="preserve">also </w:t>
      </w:r>
      <w:r w:rsidR="00E30A38" w:rsidRPr="008173C7">
        <w:rPr>
          <w:rFonts w:cs="Times New Roman"/>
          <w:lang w:val="en-US"/>
        </w:rPr>
        <w:t>to</w:t>
      </w:r>
      <w:r w:rsidR="005C4A9C" w:rsidRPr="008173C7">
        <w:rPr>
          <w:rFonts w:cs="Times New Roman"/>
          <w:lang w:val="en-US"/>
        </w:rPr>
        <w:t xml:space="preserve"> provide credible</w:t>
      </w:r>
      <w:r w:rsidR="00E30A38" w:rsidRPr="008173C7">
        <w:rPr>
          <w:rFonts w:cs="Times New Roman"/>
          <w:lang w:val="en-US"/>
        </w:rPr>
        <w:t xml:space="preserve"> </w:t>
      </w:r>
      <w:r w:rsidR="00885245" w:rsidRPr="008173C7">
        <w:rPr>
          <w:rFonts w:cs="Times New Roman"/>
          <w:lang w:val="en-US"/>
        </w:rPr>
        <w:t>judgments</w:t>
      </w:r>
      <w:r w:rsidR="005C4A9C" w:rsidRPr="008173C7">
        <w:rPr>
          <w:rFonts w:cs="Times New Roman"/>
          <w:lang w:val="en-US"/>
        </w:rPr>
        <w:t xml:space="preserve"> of</w:t>
      </w:r>
      <w:r w:rsidR="00E30A38" w:rsidRPr="008173C7">
        <w:rPr>
          <w:rFonts w:cs="Times New Roman"/>
          <w:lang w:val="en-US"/>
        </w:rPr>
        <w:t xml:space="preserve"> </w:t>
      </w:r>
      <w:r w:rsidR="005910D1" w:rsidRPr="008173C7">
        <w:rPr>
          <w:rFonts w:cs="Times New Roman"/>
          <w:lang w:val="en-US"/>
        </w:rPr>
        <w:t xml:space="preserve">the societal </w:t>
      </w:r>
      <w:r w:rsidR="00E30A38" w:rsidRPr="008173C7">
        <w:rPr>
          <w:rFonts w:cs="Times New Roman"/>
          <w:lang w:val="en-US"/>
        </w:rPr>
        <w:t xml:space="preserve">impact </w:t>
      </w:r>
      <w:r w:rsidR="005910D1" w:rsidRPr="008173C7">
        <w:rPr>
          <w:rFonts w:cs="Times New Roman"/>
          <w:lang w:val="en-US"/>
        </w:rPr>
        <w:t>of research</w:t>
      </w:r>
      <w:r w:rsidR="00B308C6" w:rsidRPr="008173C7">
        <w:rPr>
          <w:rFonts w:cs="Times New Roman"/>
          <w:lang w:val="en-US"/>
        </w:rPr>
        <w:t xml:space="preserve"> in contexts where</w:t>
      </w:r>
      <w:r w:rsidR="00E30A38" w:rsidRPr="008173C7">
        <w:rPr>
          <w:rFonts w:cs="Times New Roman"/>
          <w:lang w:val="en-US"/>
        </w:rPr>
        <w:t xml:space="preserve"> infor</w:t>
      </w:r>
      <w:r w:rsidR="00EB58EF" w:rsidRPr="008173C7">
        <w:rPr>
          <w:rFonts w:cs="Times New Roman"/>
          <w:lang w:val="en-US"/>
        </w:rPr>
        <w:t>mation is not easily available</w:t>
      </w:r>
      <w:r w:rsidR="00C7196F" w:rsidRPr="008173C7">
        <w:rPr>
          <w:rFonts w:cs="Times New Roman"/>
          <w:lang w:val="en-US"/>
        </w:rPr>
        <w:t xml:space="preserve">. </w:t>
      </w:r>
      <w:r w:rsidR="005910D1" w:rsidRPr="008173C7">
        <w:rPr>
          <w:rFonts w:cs="Times New Roman"/>
          <w:lang w:val="en-US"/>
        </w:rPr>
        <w:t>For example</w:t>
      </w:r>
      <w:r w:rsidR="00690860" w:rsidRPr="008173C7">
        <w:rPr>
          <w:rFonts w:cs="Times New Roman"/>
          <w:lang w:val="en-US"/>
        </w:rPr>
        <w:t>,</w:t>
      </w:r>
      <w:r w:rsidR="005910D1" w:rsidRPr="008173C7">
        <w:rPr>
          <w:rFonts w:cs="Times New Roman"/>
          <w:lang w:val="en-US"/>
        </w:rPr>
        <w:t xml:space="preserve"> panel</w:t>
      </w:r>
      <w:r w:rsidR="00307A0E" w:rsidRPr="008173C7">
        <w:rPr>
          <w:rFonts w:cs="Times New Roman"/>
          <w:lang w:val="en-US"/>
        </w:rPr>
        <w:t>s</w:t>
      </w:r>
      <w:r w:rsidR="00C7196F" w:rsidRPr="008173C7">
        <w:rPr>
          <w:rFonts w:cs="Times New Roman"/>
          <w:lang w:val="en-US"/>
        </w:rPr>
        <w:t xml:space="preserve"> </w:t>
      </w:r>
      <w:r w:rsidR="005C4A9C" w:rsidRPr="008173C7">
        <w:rPr>
          <w:rFonts w:cs="Times New Roman"/>
          <w:lang w:val="en-US"/>
        </w:rPr>
        <w:t xml:space="preserve">of </w:t>
      </w:r>
      <w:r w:rsidR="00C7196F" w:rsidRPr="008173C7">
        <w:rPr>
          <w:rFonts w:cs="Times New Roman"/>
          <w:lang w:val="en-US"/>
        </w:rPr>
        <w:t>researchers, managers and stakeholders</w:t>
      </w:r>
      <w:r w:rsidR="005910D1" w:rsidRPr="008173C7">
        <w:rPr>
          <w:rFonts w:cs="Times New Roman"/>
          <w:lang w:val="en-US"/>
        </w:rPr>
        <w:t xml:space="preserve"> are used </w:t>
      </w:r>
      <w:r w:rsidR="00B308C6" w:rsidRPr="008173C7">
        <w:rPr>
          <w:rFonts w:cs="Times New Roman"/>
          <w:lang w:val="en-US"/>
        </w:rPr>
        <w:t xml:space="preserve">frequently </w:t>
      </w:r>
      <w:r w:rsidR="005C4A9C" w:rsidRPr="008173C7">
        <w:rPr>
          <w:rFonts w:cs="Times New Roman"/>
          <w:lang w:val="en-US"/>
        </w:rPr>
        <w:t xml:space="preserve">to evaluate </w:t>
      </w:r>
      <w:r w:rsidR="005910D1" w:rsidRPr="008173C7">
        <w:rPr>
          <w:rFonts w:cs="Times New Roman"/>
          <w:lang w:val="en-US"/>
        </w:rPr>
        <w:t xml:space="preserve">the societal impact of European Union research programs </w:t>
      </w:r>
      <w:r w:rsidR="0016494E">
        <w:rPr>
          <w:rFonts w:cs="Times New Roman"/>
          <w:lang w:val="en-US"/>
        </w:rPr>
        <w:t>(Georghiou and</w:t>
      </w:r>
      <w:r w:rsidR="00DA7E42" w:rsidRPr="00DA7E42">
        <w:rPr>
          <w:rFonts w:cs="Times New Roman"/>
          <w:lang w:val="en-US"/>
        </w:rPr>
        <w:t xml:space="preserve"> Roesner 2000; Molas-Gall</w:t>
      </w:r>
      <w:r w:rsidR="0016494E">
        <w:rPr>
          <w:rFonts w:cs="Times New Roman"/>
          <w:lang w:val="en-US"/>
        </w:rPr>
        <w:t>art and</w:t>
      </w:r>
      <w:r w:rsidR="00DA7E42" w:rsidRPr="00DA7E42">
        <w:rPr>
          <w:rFonts w:cs="Times New Roman"/>
          <w:lang w:val="en-US"/>
        </w:rPr>
        <w:t xml:space="preserve"> Davies 2006)</w:t>
      </w:r>
      <w:r w:rsidR="00B308C6" w:rsidRPr="008173C7">
        <w:rPr>
          <w:rFonts w:cs="Times New Roman"/>
          <w:lang w:val="en-US"/>
        </w:rPr>
        <w:t xml:space="preserve">; they take the </w:t>
      </w:r>
      <w:r w:rsidR="005C4A9C" w:rsidRPr="008173C7">
        <w:rPr>
          <w:rFonts w:cs="Times New Roman"/>
          <w:lang w:val="en-US"/>
        </w:rPr>
        <w:t xml:space="preserve">form of </w:t>
      </w:r>
      <w:r w:rsidR="00C7196F" w:rsidRPr="008173C7">
        <w:rPr>
          <w:rFonts w:cs="Times New Roman"/>
          <w:lang w:val="en-US"/>
        </w:rPr>
        <w:t xml:space="preserve">what Ruegg and Feller (2003) </w:t>
      </w:r>
      <w:r w:rsidR="00B308C6" w:rsidRPr="008173C7">
        <w:rPr>
          <w:rFonts w:cs="Times New Roman"/>
          <w:lang w:val="en-US"/>
        </w:rPr>
        <w:t xml:space="preserve">call a </w:t>
      </w:r>
      <w:r w:rsidR="00C7196F" w:rsidRPr="008173C7">
        <w:rPr>
          <w:rFonts w:cs="Times New Roman"/>
          <w:lang w:val="en-US"/>
        </w:rPr>
        <w:t>“relevance review”.</w:t>
      </w:r>
      <w:r w:rsidR="005910D1" w:rsidRPr="008173C7">
        <w:rPr>
          <w:rFonts w:cs="Times New Roman"/>
          <w:lang w:val="en-US"/>
        </w:rPr>
        <w:t xml:space="preserve"> </w:t>
      </w:r>
      <w:r w:rsidR="00E15EDF" w:rsidRPr="008173C7">
        <w:rPr>
          <w:rFonts w:cs="Times New Roman"/>
          <w:lang w:val="en-US"/>
        </w:rPr>
        <w:t>P</w:t>
      </w:r>
      <w:r w:rsidR="00E15EDF" w:rsidRPr="008173C7" w:rsidDel="00E30A38">
        <w:rPr>
          <w:rFonts w:cs="Times New Roman"/>
          <w:lang w:val="en-US"/>
        </w:rPr>
        <w:t xml:space="preserve">anels </w:t>
      </w:r>
      <w:r w:rsidR="005C4A9C" w:rsidRPr="008173C7">
        <w:rPr>
          <w:rFonts w:cs="Times New Roman"/>
          <w:lang w:val="en-US"/>
        </w:rPr>
        <w:t xml:space="preserve">to evaluate </w:t>
      </w:r>
      <w:r w:rsidR="005910D1" w:rsidRPr="008173C7">
        <w:rPr>
          <w:rFonts w:cs="Times New Roman"/>
          <w:lang w:val="en-US"/>
        </w:rPr>
        <w:t xml:space="preserve">the </w:t>
      </w:r>
      <w:r w:rsidR="00E15EDF" w:rsidRPr="008173C7" w:rsidDel="00E30A38">
        <w:rPr>
          <w:rFonts w:cs="Times New Roman"/>
          <w:lang w:val="en-US"/>
        </w:rPr>
        <w:t xml:space="preserve">socio-economic impact </w:t>
      </w:r>
      <w:r w:rsidR="005910D1" w:rsidRPr="008173C7">
        <w:rPr>
          <w:rFonts w:cs="Times New Roman"/>
          <w:lang w:val="en-US"/>
        </w:rPr>
        <w:t xml:space="preserve">of research </w:t>
      </w:r>
      <w:r w:rsidR="00E15EDF" w:rsidRPr="008173C7" w:rsidDel="00E30A38">
        <w:rPr>
          <w:rFonts w:cs="Times New Roman"/>
          <w:lang w:val="en-US"/>
        </w:rPr>
        <w:t xml:space="preserve">tend to </w:t>
      </w:r>
      <w:r w:rsidR="005C4A9C" w:rsidRPr="008173C7">
        <w:rPr>
          <w:rFonts w:cs="Times New Roman"/>
          <w:lang w:val="en-US"/>
        </w:rPr>
        <w:t xml:space="preserve">adopt </w:t>
      </w:r>
      <w:r w:rsidR="00E15EDF" w:rsidRPr="008173C7" w:rsidDel="00E30A38">
        <w:rPr>
          <w:rFonts w:cs="Times New Roman"/>
          <w:lang w:val="en-US"/>
        </w:rPr>
        <w:t xml:space="preserve">the procedures </w:t>
      </w:r>
      <w:r w:rsidR="005C4A9C" w:rsidRPr="008173C7">
        <w:rPr>
          <w:rFonts w:cs="Times New Roman"/>
          <w:lang w:val="en-US"/>
        </w:rPr>
        <w:t xml:space="preserve">used by </w:t>
      </w:r>
      <w:r w:rsidR="00307A0E" w:rsidRPr="008173C7">
        <w:rPr>
          <w:rFonts w:cs="Times New Roman"/>
          <w:lang w:val="en-US"/>
        </w:rPr>
        <w:t xml:space="preserve">peer review </w:t>
      </w:r>
      <w:r w:rsidR="00E15EDF" w:rsidRPr="008173C7" w:rsidDel="00E30A38">
        <w:rPr>
          <w:rFonts w:cs="Times New Roman"/>
          <w:lang w:val="en-US"/>
        </w:rPr>
        <w:t xml:space="preserve">panels </w:t>
      </w:r>
      <w:r w:rsidR="005C4A9C" w:rsidRPr="008173C7">
        <w:rPr>
          <w:rFonts w:cs="Times New Roman"/>
          <w:lang w:val="en-US"/>
        </w:rPr>
        <w:t xml:space="preserve">to evaluate </w:t>
      </w:r>
      <w:r w:rsidR="00E15EDF" w:rsidRPr="008173C7" w:rsidDel="00E30A38">
        <w:rPr>
          <w:rFonts w:cs="Times New Roman"/>
          <w:lang w:val="en-US"/>
        </w:rPr>
        <w:t xml:space="preserve">research quality, </w:t>
      </w:r>
      <w:r w:rsidR="005C4A9C" w:rsidRPr="008173C7">
        <w:rPr>
          <w:rFonts w:cs="Times New Roman"/>
          <w:lang w:val="en-US"/>
        </w:rPr>
        <w:t xml:space="preserve">with </w:t>
      </w:r>
      <w:r w:rsidR="00E15EDF" w:rsidRPr="008173C7" w:rsidDel="00E30A38">
        <w:rPr>
          <w:rFonts w:cs="Times New Roman"/>
          <w:lang w:val="en-US"/>
        </w:rPr>
        <w:t xml:space="preserve">little </w:t>
      </w:r>
      <w:r w:rsidR="005C4A9C" w:rsidRPr="008173C7">
        <w:rPr>
          <w:rFonts w:cs="Times New Roman"/>
          <w:lang w:val="en-US"/>
        </w:rPr>
        <w:t xml:space="preserve">consideration of </w:t>
      </w:r>
      <w:r w:rsidR="00E15EDF" w:rsidRPr="008173C7" w:rsidDel="00E30A38">
        <w:rPr>
          <w:rFonts w:cs="Times New Roman"/>
          <w:lang w:val="en-US"/>
        </w:rPr>
        <w:t>their specificity</w:t>
      </w:r>
      <w:r w:rsidR="005C4A9C" w:rsidRPr="008173C7">
        <w:rPr>
          <w:rFonts w:cs="Times New Roman"/>
          <w:lang w:val="en-US"/>
        </w:rPr>
        <w:t>; however</w:t>
      </w:r>
      <w:r w:rsidR="00E15EDF" w:rsidRPr="008173C7">
        <w:rPr>
          <w:rFonts w:cs="Times New Roman"/>
          <w:lang w:val="en-US"/>
        </w:rPr>
        <w:t xml:space="preserve">, they tend to include fewer researchers and </w:t>
      </w:r>
      <w:r w:rsidR="005C4A9C" w:rsidRPr="008173C7">
        <w:rPr>
          <w:rFonts w:cs="Times New Roman"/>
          <w:lang w:val="en-US"/>
        </w:rPr>
        <w:t xml:space="preserve">higher representation </w:t>
      </w:r>
      <w:r w:rsidR="00E15EDF" w:rsidRPr="008173C7">
        <w:rPr>
          <w:rFonts w:cs="Times New Roman"/>
          <w:lang w:val="en-US"/>
        </w:rPr>
        <w:t xml:space="preserve">of stakeholders and </w:t>
      </w:r>
      <w:r w:rsidR="00690860" w:rsidRPr="008173C7">
        <w:rPr>
          <w:rFonts w:cs="Times New Roman"/>
          <w:lang w:val="en-US"/>
        </w:rPr>
        <w:t>end-</w:t>
      </w:r>
      <w:r w:rsidR="00E15EDF" w:rsidRPr="008173C7">
        <w:rPr>
          <w:rFonts w:cs="Times New Roman"/>
          <w:lang w:val="en-US"/>
        </w:rPr>
        <w:t>users</w:t>
      </w:r>
      <w:r w:rsidR="00E15EDF" w:rsidRPr="008173C7" w:rsidDel="00E30A38">
        <w:rPr>
          <w:rFonts w:cs="Times New Roman"/>
          <w:lang w:val="en-US"/>
        </w:rPr>
        <w:t xml:space="preserve"> </w:t>
      </w:r>
      <w:r w:rsidR="00B44642">
        <w:rPr>
          <w:rFonts w:cs="Times New Roman"/>
          <w:lang w:val="en-US"/>
        </w:rPr>
        <w:t>(Bozeman and</w:t>
      </w:r>
      <w:r w:rsidR="00DA7E42" w:rsidRPr="00DA7E42">
        <w:rPr>
          <w:rFonts w:cs="Times New Roman"/>
          <w:lang w:val="en-US"/>
        </w:rPr>
        <w:t xml:space="preserve"> Youtie 2015)</w:t>
      </w:r>
      <w:r w:rsidR="00E15EDF" w:rsidRPr="008173C7" w:rsidDel="00E30A38">
        <w:rPr>
          <w:rFonts w:cs="Times New Roman"/>
          <w:lang w:val="en-US"/>
        </w:rPr>
        <w:t>.</w:t>
      </w:r>
      <w:r w:rsidR="00E15EDF" w:rsidRPr="008173C7">
        <w:rPr>
          <w:rFonts w:cs="Times New Roman"/>
          <w:lang w:val="en-US"/>
        </w:rPr>
        <w:t xml:space="preserve"> </w:t>
      </w:r>
    </w:p>
    <w:p w14:paraId="64A5F9D1" w14:textId="687296CC" w:rsidR="009F0BCF" w:rsidRPr="008173C7" w:rsidRDefault="00F43C3A" w:rsidP="000401BB">
      <w:pPr>
        <w:spacing w:line="480" w:lineRule="auto"/>
        <w:rPr>
          <w:rFonts w:cs="Times New Roman"/>
          <w:lang w:val="en-US"/>
        </w:rPr>
      </w:pPr>
      <w:r w:rsidRPr="008173C7">
        <w:rPr>
          <w:rFonts w:cs="Times New Roman"/>
          <w:lang w:val="en-US"/>
        </w:rPr>
        <w:t>The</w:t>
      </w:r>
      <w:r w:rsidR="00E30A38" w:rsidRPr="008173C7">
        <w:rPr>
          <w:rFonts w:cs="Times New Roman"/>
          <w:lang w:val="en-US"/>
        </w:rPr>
        <w:t xml:space="preserve"> literature provides recommendations</w:t>
      </w:r>
      <w:r w:rsidR="000E7D0C" w:rsidRPr="008173C7">
        <w:rPr>
          <w:rFonts w:cs="Times New Roman"/>
          <w:lang w:val="en-US"/>
        </w:rPr>
        <w:t xml:space="preserve"> </w:t>
      </w:r>
      <w:r w:rsidR="005C4A9C" w:rsidRPr="008173C7">
        <w:rPr>
          <w:rFonts w:cs="Times New Roman"/>
          <w:lang w:val="en-US"/>
        </w:rPr>
        <w:t xml:space="preserve">on </w:t>
      </w:r>
      <w:r w:rsidR="000E7D0C" w:rsidRPr="008173C7">
        <w:rPr>
          <w:rFonts w:cs="Times New Roman"/>
          <w:lang w:val="en-US"/>
        </w:rPr>
        <w:t xml:space="preserve">panel review to </w:t>
      </w:r>
      <w:r w:rsidR="00BB5922" w:rsidRPr="008173C7">
        <w:rPr>
          <w:rFonts w:cs="Times New Roman"/>
          <w:lang w:val="en-US"/>
        </w:rPr>
        <w:t xml:space="preserve">promote </w:t>
      </w:r>
      <w:r w:rsidR="00B435FC" w:rsidRPr="008173C7">
        <w:rPr>
          <w:rFonts w:cs="Times New Roman"/>
          <w:lang w:val="en-US"/>
        </w:rPr>
        <w:t>objectivity an</w:t>
      </w:r>
      <w:r w:rsidR="00463F27" w:rsidRPr="008173C7">
        <w:rPr>
          <w:rFonts w:cs="Times New Roman"/>
          <w:lang w:val="en-US"/>
        </w:rPr>
        <w:t xml:space="preserve">d </w:t>
      </w:r>
      <w:r w:rsidR="00020C06" w:rsidRPr="008173C7">
        <w:rPr>
          <w:rFonts w:cs="Times New Roman"/>
          <w:lang w:val="en-US"/>
        </w:rPr>
        <w:t xml:space="preserve">diversity </w:t>
      </w:r>
      <w:r w:rsidR="00B308C6" w:rsidRPr="008173C7">
        <w:rPr>
          <w:rFonts w:cs="Times New Roman"/>
          <w:lang w:val="en-US"/>
        </w:rPr>
        <w:t xml:space="preserve">in </w:t>
      </w:r>
      <w:r w:rsidR="005C4A9C" w:rsidRPr="008173C7">
        <w:rPr>
          <w:rFonts w:cs="Times New Roman"/>
          <w:lang w:val="en-US"/>
        </w:rPr>
        <w:t xml:space="preserve">the </w:t>
      </w:r>
      <w:r w:rsidR="00020C06" w:rsidRPr="008173C7">
        <w:rPr>
          <w:rFonts w:cs="Times New Roman"/>
          <w:lang w:val="en-US"/>
        </w:rPr>
        <w:t xml:space="preserve">opinions expressed </w:t>
      </w:r>
      <w:r w:rsidR="00463F27" w:rsidRPr="008173C7">
        <w:rPr>
          <w:rFonts w:cs="Times New Roman"/>
          <w:lang w:val="en-US"/>
        </w:rPr>
        <w:t>in the assessment</w:t>
      </w:r>
      <w:r w:rsidR="007438E8" w:rsidRPr="008173C7">
        <w:rPr>
          <w:rFonts w:cs="Times New Roman"/>
          <w:lang w:val="en-US"/>
        </w:rPr>
        <w:t xml:space="preserve"> process</w:t>
      </w:r>
      <w:r w:rsidR="00463F27" w:rsidRPr="008173C7">
        <w:rPr>
          <w:rFonts w:cs="Times New Roman"/>
          <w:lang w:val="en-US"/>
        </w:rPr>
        <w:t>.</w:t>
      </w:r>
      <w:r w:rsidR="00B435FC" w:rsidRPr="008173C7">
        <w:rPr>
          <w:rFonts w:cs="Times New Roman"/>
          <w:lang w:val="en-US"/>
        </w:rPr>
        <w:t xml:space="preserve"> </w:t>
      </w:r>
      <w:r w:rsidR="00B308C6" w:rsidRPr="008173C7">
        <w:rPr>
          <w:rFonts w:cs="Times New Roman"/>
          <w:lang w:val="en-US"/>
        </w:rPr>
        <w:t>Prior</w:t>
      </w:r>
      <w:r w:rsidRPr="008173C7">
        <w:rPr>
          <w:rFonts w:cs="Times New Roman"/>
          <w:lang w:val="en-US"/>
        </w:rPr>
        <w:t xml:space="preserve"> preparation by a secretariat of a synthesis of </w:t>
      </w:r>
      <w:r w:rsidR="005C4A9C" w:rsidRPr="008173C7">
        <w:rPr>
          <w:rFonts w:cs="Times New Roman"/>
          <w:lang w:val="en-US"/>
        </w:rPr>
        <w:t xml:space="preserve">the </w:t>
      </w:r>
      <w:r w:rsidRPr="008173C7">
        <w:rPr>
          <w:rFonts w:cs="Times New Roman"/>
          <w:lang w:val="en-US"/>
        </w:rPr>
        <w:t xml:space="preserve">available data is important </w:t>
      </w:r>
      <w:r w:rsidR="005C4A9C" w:rsidRPr="008173C7">
        <w:rPr>
          <w:rFonts w:cs="Times New Roman"/>
          <w:lang w:val="en-US"/>
        </w:rPr>
        <w:t xml:space="preserve">to ensure </w:t>
      </w:r>
      <w:r w:rsidRPr="008173C7">
        <w:rPr>
          <w:rFonts w:cs="Times New Roman"/>
          <w:lang w:val="en-US"/>
        </w:rPr>
        <w:t xml:space="preserve">quality </w:t>
      </w:r>
      <w:r w:rsidR="0016494E">
        <w:rPr>
          <w:rFonts w:cs="Times New Roman"/>
          <w:lang w:val="en-US"/>
        </w:rPr>
        <w:t>(Ruegg and</w:t>
      </w:r>
      <w:r w:rsidR="00DA7E42" w:rsidRPr="00DA7E42">
        <w:rPr>
          <w:rFonts w:cs="Times New Roman"/>
          <w:lang w:val="en-US"/>
        </w:rPr>
        <w:t xml:space="preserve"> Feller 2003)</w:t>
      </w:r>
      <w:r w:rsidRPr="008173C7">
        <w:rPr>
          <w:rFonts w:cs="Times New Roman"/>
          <w:lang w:val="en-US"/>
        </w:rPr>
        <w:t>, and facilitates interaction among members</w:t>
      </w:r>
      <w:r w:rsidR="007438E8" w:rsidRPr="008173C7">
        <w:rPr>
          <w:rFonts w:cs="Times New Roman"/>
          <w:lang w:val="en-US"/>
        </w:rPr>
        <w:t xml:space="preserve"> </w:t>
      </w:r>
      <w:r w:rsidR="00DA7E42" w:rsidRPr="00DA7E42">
        <w:rPr>
          <w:rFonts w:cs="Times New Roman"/>
          <w:lang w:val="en-US"/>
        </w:rPr>
        <w:t>(Arnold et al. 2005; Boaz et al. 2009)</w:t>
      </w:r>
      <w:r w:rsidR="007E2750" w:rsidRPr="008173C7">
        <w:rPr>
          <w:rFonts w:cs="Times New Roman"/>
          <w:lang w:val="en-US"/>
        </w:rPr>
        <w:t xml:space="preserve">. </w:t>
      </w:r>
      <w:r w:rsidR="00B308C6" w:rsidRPr="008173C7">
        <w:rPr>
          <w:rFonts w:cs="Times New Roman"/>
          <w:lang w:val="en-US"/>
        </w:rPr>
        <w:t>Also important is t</w:t>
      </w:r>
      <w:r w:rsidRPr="008173C7">
        <w:rPr>
          <w:rFonts w:cs="Times New Roman"/>
          <w:lang w:val="en-US"/>
        </w:rPr>
        <w:t xml:space="preserve">he </w:t>
      </w:r>
      <w:r w:rsidR="002A5F62" w:rsidRPr="008173C7">
        <w:rPr>
          <w:rFonts w:cs="Times New Roman"/>
          <w:lang w:val="en-US"/>
        </w:rPr>
        <w:t>selection of panelists</w:t>
      </w:r>
      <w:r w:rsidR="005C4A9C" w:rsidRPr="008173C7">
        <w:rPr>
          <w:rFonts w:cs="Times New Roman"/>
          <w:lang w:val="en-US"/>
        </w:rPr>
        <w:t>;</w:t>
      </w:r>
      <w:r w:rsidR="00E51635" w:rsidRPr="008173C7">
        <w:rPr>
          <w:rFonts w:cs="Times New Roman"/>
          <w:lang w:val="en-US"/>
        </w:rPr>
        <w:t xml:space="preserve"> </w:t>
      </w:r>
      <w:r w:rsidR="005C4A9C" w:rsidRPr="008173C7">
        <w:rPr>
          <w:rFonts w:cs="Times New Roman"/>
          <w:lang w:val="en-US"/>
        </w:rPr>
        <w:t>t</w:t>
      </w:r>
      <w:r w:rsidR="00E51635" w:rsidRPr="008173C7">
        <w:rPr>
          <w:rFonts w:cs="Times New Roman"/>
          <w:lang w:val="en-US"/>
        </w:rPr>
        <w:t xml:space="preserve">he size and composition of the </w:t>
      </w:r>
      <w:r w:rsidR="005C4A9C" w:rsidRPr="008173C7">
        <w:rPr>
          <w:rFonts w:cs="Times New Roman"/>
          <w:lang w:val="en-US"/>
        </w:rPr>
        <w:t xml:space="preserve">panel must ensure constructive </w:t>
      </w:r>
      <w:r w:rsidR="00E51635" w:rsidRPr="008173C7">
        <w:rPr>
          <w:rFonts w:cs="Times New Roman"/>
          <w:lang w:val="en-US"/>
        </w:rPr>
        <w:t xml:space="preserve">discussion </w:t>
      </w:r>
      <w:r w:rsidR="005C4A9C" w:rsidRPr="008173C7">
        <w:rPr>
          <w:rFonts w:cs="Times New Roman"/>
          <w:lang w:val="en-US"/>
        </w:rPr>
        <w:t xml:space="preserve">among </w:t>
      </w:r>
      <w:r w:rsidR="00E51635" w:rsidRPr="008173C7">
        <w:rPr>
          <w:rFonts w:cs="Times New Roman"/>
          <w:lang w:val="en-US"/>
        </w:rPr>
        <w:t>members.</w:t>
      </w:r>
      <w:r w:rsidR="002A5F62" w:rsidRPr="008173C7">
        <w:rPr>
          <w:rFonts w:cs="Times New Roman"/>
          <w:lang w:val="en-US"/>
        </w:rPr>
        <w:t xml:space="preserve"> </w:t>
      </w:r>
      <w:r w:rsidR="005C4A9C" w:rsidRPr="008173C7">
        <w:rPr>
          <w:rFonts w:cs="Times New Roman"/>
          <w:lang w:val="en-US"/>
        </w:rPr>
        <w:t xml:space="preserve">For example, </w:t>
      </w:r>
      <w:r w:rsidR="0016494E">
        <w:rPr>
          <w:rFonts w:cs="Times New Roman"/>
          <w:lang w:val="en-US"/>
        </w:rPr>
        <w:t>Arnold et al. (2005) and</w:t>
      </w:r>
      <w:r w:rsidR="00DA7E42" w:rsidRPr="00DA7E42">
        <w:rPr>
          <w:rFonts w:cs="Times New Roman"/>
          <w:lang w:val="en-US"/>
        </w:rPr>
        <w:t xml:space="preserve"> Langfeldt </w:t>
      </w:r>
      <w:r w:rsidR="0016494E">
        <w:rPr>
          <w:rFonts w:cs="Times New Roman"/>
          <w:lang w:val="en-US"/>
        </w:rPr>
        <w:t>(</w:t>
      </w:r>
      <w:r w:rsidR="00DA7E42" w:rsidRPr="00DA7E42">
        <w:rPr>
          <w:rFonts w:cs="Times New Roman"/>
          <w:lang w:val="en-US"/>
        </w:rPr>
        <w:t>2004)</w:t>
      </w:r>
      <w:r w:rsidR="00463F27" w:rsidRPr="008173C7">
        <w:rPr>
          <w:rFonts w:cs="Times New Roman"/>
          <w:lang w:val="en-US"/>
        </w:rPr>
        <w:t xml:space="preserve"> </w:t>
      </w:r>
      <w:r w:rsidR="00CD1F4D" w:rsidRPr="008173C7">
        <w:rPr>
          <w:rFonts w:cs="Times New Roman"/>
          <w:lang w:val="en-US"/>
        </w:rPr>
        <w:t xml:space="preserve">observed that </w:t>
      </w:r>
      <w:r w:rsidR="00B308C6" w:rsidRPr="008173C7">
        <w:rPr>
          <w:rFonts w:cs="Times New Roman"/>
          <w:lang w:val="en-US"/>
        </w:rPr>
        <w:t xml:space="preserve">in panels </w:t>
      </w:r>
      <w:r w:rsidR="005C4A9C" w:rsidRPr="008173C7">
        <w:rPr>
          <w:rFonts w:cs="Times New Roman"/>
          <w:lang w:val="en-US"/>
        </w:rPr>
        <w:t xml:space="preserve">with little </w:t>
      </w:r>
      <w:r w:rsidR="002C2BEC" w:rsidRPr="008173C7">
        <w:rPr>
          <w:rFonts w:cs="Times New Roman"/>
          <w:lang w:val="en-US"/>
        </w:rPr>
        <w:t>ov</w:t>
      </w:r>
      <w:r w:rsidR="00F90487" w:rsidRPr="008173C7">
        <w:rPr>
          <w:rFonts w:cs="Times New Roman"/>
          <w:lang w:val="en-US"/>
        </w:rPr>
        <w:t>erlap</w:t>
      </w:r>
      <w:r w:rsidR="005C4A9C" w:rsidRPr="008173C7">
        <w:rPr>
          <w:rFonts w:cs="Times New Roman"/>
          <w:lang w:val="en-US"/>
        </w:rPr>
        <w:t xml:space="preserve"> in </w:t>
      </w:r>
      <w:r w:rsidR="00F90487" w:rsidRPr="008173C7">
        <w:rPr>
          <w:rFonts w:cs="Times New Roman"/>
          <w:lang w:val="en-US"/>
        </w:rPr>
        <w:t>competence</w:t>
      </w:r>
      <w:r w:rsidR="00213511" w:rsidRPr="008173C7">
        <w:rPr>
          <w:rFonts w:cs="Times New Roman"/>
          <w:lang w:val="en-US"/>
        </w:rPr>
        <w:t>s</w:t>
      </w:r>
      <w:r w:rsidR="007400A1" w:rsidRPr="008173C7">
        <w:rPr>
          <w:rFonts w:cs="Times New Roman"/>
          <w:lang w:val="en-US"/>
        </w:rPr>
        <w:t xml:space="preserve">, </w:t>
      </w:r>
      <w:r w:rsidR="00B805DE" w:rsidRPr="008173C7">
        <w:rPr>
          <w:rFonts w:cs="Times New Roman"/>
          <w:lang w:val="en-US"/>
        </w:rPr>
        <w:t>the group</w:t>
      </w:r>
      <w:r w:rsidR="00826381" w:rsidRPr="008173C7">
        <w:rPr>
          <w:rFonts w:cs="Times New Roman"/>
          <w:lang w:val="en-US"/>
        </w:rPr>
        <w:t xml:space="preserve"> </w:t>
      </w:r>
      <w:r w:rsidR="005C4A9C" w:rsidRPr="008173C7">
        <w:rPr>
          <w:rFonts w:cs="Times New Roman"/>
          <w:lang w:val="en-US"/>
        </w:rPr>
        <w:t xml:space="preserve">will </w:t>
      </w:r>
      <w:r w:rsidR="00826381" w:rsidRPr="008173C7">
        <w:rPr>
          <w:rFonts w:cs="Times New Roman"/>
          <w:lang w:val="en-US"/>
        </w:rPr>
        <w:t xml:space="preserve">follow the </w:t>
      </w:r>
      <w:r w:rsidR="005C4A9C" w:rsidRPr="008173C7">
        <w:rPr>
          <w:rFonts w:cs="Times New Roman"/>
          <w:lang w:val="en-US"/>
        </w:rPr>
        <w:t xml:space="preserve">lead </w:t>
      </w:r>
      <w:r w:rsidR="00826381" w:rsidRPr="008173C7">
        <w:rPr>
          <w:rFonts w:cs="Times New Roman"/>
          <w:lang w:val="en-US"/>
        </w:rPr>
        <w:t xml:space="preserve">of </w:t>
      </w:r>
      <w:r w:rsidR="005C4A9C" w:rsidRPr="008173C7">
        <w:rPr>
          <w:rFonts w:cs="Times New Roman"/>
          <w:lang w:val="en-US"/>
        </w:rPr>
        <w:t xml:space="preserve">a </w:t>
      </w:r>
      <w:r w:rsidR="00826381" w:rsidRPr="008173C7">
        <w:rPr>
          <w:rFonts w:cs="Times New Roman"/>
          <w:lang w:val="en-US"/>
        </w:rPr>
        <w:t xml:space="preserve">few </w:t>
      </w:r>
      <w:r w:rsidR="00B308C6" w:rsidRPr="008173C7">
        <w:rPr>
          <w:rFonts w:cs="Times New Roman"/>
          <w:lang w:val="en-US"/>
        </w:rPr>
        <w:t>panelists</w:t>
      </w:r>
      <w:r w:rsidR="00826381" w:rsidRPr="008173C7">
        <w:rPr>
          <w:rFonts w:cs="Times New Roman"/>
          <w:lang w:val="en-US"/>
        </w:rPr>
        <w:t xml:space="preserve"> with more specific knowledge</w:t>
      </w:r>
      <w:r w:rsidR="007400A1" w:rsidRPr="008173C7">
        <w:rPr>
          <w:rFonts w:cs="Times New Roman"/>
          <w:lang w:val="en-US"/>
        </w:rPr>
        <w:t xml:space="preserve">. This </w:t>
      </w:r>
      <w:r w:rsidR="005C4A9C" w:rsidRPr="008173C7">
        <w:rPr>
          <w:rFonts w:cs="Times New Roman"/>
          <w:lang w:val="en-US"/>
        </w:rPr>
        <w:t xml:space="preserve">can </w:t>
      </w:r>
      <w:r w:rsidR="002C2BEC" w:rsidRPr="008173C7">
        <w:rPr>
          <w:rFonts w:cs="Times New Roman"/>
          <w:lang w:val="en-US"/>
        </w:rPr>
        <w:t>result in a high division of tasks</w:t>
      </w:r>
      <w:r w:rsidR="00B308C6" w:rsidRPr="008173C7">
        <w:rPr>
          <w:rFonts w:cs="Times New Roman"/>
          <w:lang w:val="en-US"/>
        </w:rPr>
        <w:t>,</w:t>
      </w:r>
      <w:r w:rsidR="002C2BEC" w:rsidRPr="008173C7">
        <w:rPr>
          <w:rFonts w:cs="Times New Roman"/>
          <w:lang w:val="en-US"/>
        </w:rPr>
        <w:t xml:space="preserve"> and little interaction</w:t>
      </w:r>
      <w:r w:rsidR="00B805DE" w:rsidRPr="008173C7">
        <w:rPr>
          <w:rFonts w:cs="Times New Roman"/>
          <w:lang w:val="en-US"/>
        </w:rPr>
        <w:t xml:space="preserve"> among members</w:t>
      </w:r>
      <w:r w:rsidR="002C2BEC" w:rsidRPr="008173C7">
        <w:rPr>
          <w:rFonts w:cs="Times New Roman"/>
          <w:lang w:val="en-US"/>
        </w:rPr>
        <w:t xml:space="preserve"> </w:t>
      </w:r>
      <w:r w:rsidR="00826381" w:rsidRPr="008173C7">
        <w:rPr>
          <w:rFonts w:cs="Times New Roman"/>
          <w:lang w:val="en-US"/>
        </w:rPr>
        <w:t xml:space="preserve">which </w:t>
      </w:r>
      <w:r w:rsidR="005C4A9C" w:rsidRPr="008173C7">
        <w:rPr>
          <w:rFonts w:cs="Times New Roman"/>
          <w:lang w:val="en-US"/>
        </w:rPr>
        <w:t xml:space="preserve">will be </w:t>
      </w:r>
      <w:r w:rsidR="00826381" w:rsidRPr="008173C7">
        <w:rPr>
          <w:rFonts w:cs="Times New Roman"/>
          <w:lang w:val="en-US"/>
        </w:rPr>
        <w:t xml:space="preserve">detrimental to quality. </w:t>
      </w:r>
      <w:r w:rsidR="005C4A9C" w:rsidRPr="008173C7">
        <w:rPr>
          <w:rFonts w:cs="Times New Roman"/>
          <w:lang w:val="en-US"/>
        </w:rPr>
        <w:t>Thus</w:t>
      </w:r>
      <w:r w:rsidR="007438E8" w:rsidRPr="008173C7">
        <w:rPr>
          <w:rFonts w:cs="Times New Roman"/>
          <w:lang w:val="en-US"/>
        </w:rPr>
        <w:t>,</w:t>
      </w:r>
      <w:r w:rsidR="00213511" w:rsidRPr="008173C7">
        <w:rPr>
          <w:rFonts w:cs="Times New Roman"/>
          <w:lang w:val="en-US"/>
        </w:rPr>
        <w:t xml:space="preserve"> </w:t>
      </w:r>
      <w:r w:rsidR="00DA7E42" w:rsidRPr="00DA7E42">
        <w:rPr>
          <w:rFonts w:cs="Times New Roman"/>
          <w:lang w:val="en-US"/>
        </w:rPr>
        <w:t xml:space="preserve">Boaz et al. </w:t>
      </w:r>
      <w:r w:rsidR="0016494E">
        <w:rPr>
          <w:rFonts w:cs="Times New Roman"/>
          <w:lang w:val="en-US"/>
        </w:rPr>
        <w:t>(</w:t>
      </w:r>
      <w:r w:rsidR="00DA7E42" w:rsidRPr="00DA7E42">
        <w:rPr>
          <w:rFonts w:cs="Times New Roman"/>
          <w:lang w:val="en-US"/>
        </w:rPr>
        <w:t>2009)</w:t>
      </w:r>
      <w:r w:rsidR="00C32AB3" w:rsidRPr="008173C7">
        <w:rPr>
          <w:rFonts w:cs="Times New Roman"/>
          <w:lang w:val="en-US"/>
        </w:rPr>
        <w:t xml:space="preserve"> </w:t>
      </w:r>
      <w:r w:rsidR="00690860" w:rsidRPr="008173C7">
        <w:rPr>
          <w:rFonts w:cs="Times New Roman"/>
          <w:lang w:val="en-US"/>
        </w:rPr>
        <w:t>warn</w:t>
      </w:r>
      <w:r w:rsidR="007400A1" w:rsidRPr="008173C7">
        <w:rPr>
          <w:rFonts w:cs="Times New Roman"/>
          <w:lang w:val="en-US"/>
        </w:rPr>
        <w:t xml:space="preserve"> against us</w:t>
      </w:r>
      <w:r w:rsidR="005C4A9C" w:rsidRPr="008173C7">
        <w:rPr>
          <w:rFonts w:cs="Times New Roman"/>
          <w:lang w:val="en-US"/>
        </w:rPr>
        <w:t>e of</w:t>
      </w:r>
      <w:r w:rsidR="007400A1" w:rsidRPr="008173C7">
        <w:rPr>
          <w:rFonts w:cs="Times New Roman"/>
          <w:lang w:val="en-US"/>
        </w:rPr>
        <w:t xml:space="preserve"> </w:t>
      </w:r>
      <w:r w:rsidR="00C32AB3" w:rsidRPr="008173C7">
        <w:rPr>
          <w:rFonts w:cs="Times New Roman"/>
          <w:lang w:val="en-US"/>
        </w:rPr>
        <w:t>expert panels to evaluate broad thematic area</w:t>
      </w:r>
      <w:r w:rsidR="005C4A9C" w:rsidRPr="008173C7">
        <w:rPr>
          <w:rFonts w:cs="Times New Roman"/>
          <w:lang w:val="en-US"/>
        </w:rPr>
        <w:t xml:space="preserve">s since this </w:t>
      </w:r>
      <w:r w:rsidR="00C32AB3" w:rsidRPr="008173C7">
        <w:rPr>
          <w:rFonts w:cs="Times New Roman"/>
          <w:lang w:val="en-US"/>
        </w:rPr>
        <w:t xml:space="preserve">would </w:t>
      </w:r>
      <w:r w:rsidR="00B308C6" w:rsidRPr="008173C7">
        <w:rPr>
          <w:rFonts w:cs="Times New Roman"/>
          <w:lang w:val="en-US"/>
        </w:rPr>
        <w:t xml:space="preserve">require </w:t>
      </w:r>
      <w:r w:rsidR="00E51635" w:rsidRPr="008173C7">
        <w:rPr>
          <w:rFonts w:cs="Times New Roman"/>
          <w:lang w:val="en-US"/>
        </w:rPr>
        <w:t xml:space="preserve">too </w:t>
      </w:r>
      <w:r w:rsidR="00C32AB3" w:rsidRPr="008173C7">
        <w:rPr>
          <w:rFonts w:cs="Times New Roman"/>
          <w:lang w:val="en-US"/>
        </w:rPr>
        <w:t xml:space="preserve">large </w:t>
      </w:r>
      <w:r w:rsidR="005C4A9C" w:rsidRPr="008173C7">
        <w:rPr>
          <w:rFonts w:cs="Times New Roman"/>
          <w:lang w:val="en-US"/>
        </w:rPr>
        <w:t xml:space="preserve">a </w:t>
      </w:r>
      <w:r w:rsidR="00C32AB3" w:rsidRPr="008173C7">
        <w:rPr>
          <w:rFonts w:cs="Times New Roman"/>
          <w:lang w:val="en-US"/>
        </w:rPr>
        <w:t>number of experts.</w:t>
      </w:r>
      <w:r w:rsidR="00D46753" w:rsidRPr="008173C7">
        <w:rPr>
          <w:rFonts w:cs="Times New Roman"/>
          <w:lang w:val="en-US"/>
        </w:rPr>
        <w:t xml:space="preserve"> </w:t>
      </w:r>
      <w:r w:rsidR="00DA7E42" w:rsidRPr="00DA7E42">
        <w:rPr>
          <w:rFonts w:cs="Times New Roman"/>
          <w:lang w:val="en-US"/>
        </w:rPr>
        <w:t xml:space="preserve">Bornmann </w:t>
      </w:r>
      <w:r w:rsidR="0016494E">
        <w:rPr>
          <w:rFonts w:cs="Times New Roman"/>
          <w:lang w:val="en-US"/>
        </w:rPr>
        <w:t>(</w:t>
      </w:r>
      <w:r w:rsidR="00DA7E42" w:rsidRPr="00DA7E42">
        <w:rPr>
          <w:rFonts w:cs="Times New Roman"/>
          <w:lang w:val="en-US"/>
        </w:rPr>
        <w:t>2013)</w:t>
      </w:r>
      <w:r w:rsidR="00C32AB3" w:rsidRPr="008173C7">
        <w:rPr>
          <w:rFonts w:cs="Times New Roman"/>
          <w:lang w:val="en-US"/>
        </w:rPr>
        <w:t xml:space="preserve"> </w:t>
      </w:r>
      <w:r w:rsidR="00294DBF" w:rsidRPr="008173C7">
        <w:rPr>
          <w:rFonts w:cs="Times New Roman"/>
          <w:lang w:val="en-US"/>
        </w:rPr>
        <w:t xml:space="preserve">recommends </w:t>
      </w:r>
      <w:r w:rsidR="003E1520" w:rsidRPr="008173C7">
        <w:rPr>
          <w:rFonts w:cs="Times New Roman"/>
          <w:lang w:val="en-US"/>
        </w:rPr>
        <w:t xml:space="preserve">panels </w:t>
      </w:r>
      <w:r w:rsidR="00294DBF" w:rsidRPr="008173C7">
        <w:rPr>
          <w:rFonts w:cs="Times New Roman"/>
          <w:lang w:val="en-US"/>
        </w:rPr>
        <w:t>involving stakeholders with experience in the exploitation of research</w:t>
      </w:r>
      <w:r w:rsidR="003E1520" w:rsidRPr="008173C7">
        <w:rPr>
          <w:rFonts w:cs="Times New Roman"/>
          <w:lang w:val="en-US"/>
        </w:rPr>
        <w:t>.</w:t>
      </w:r>
      <w:r w:rsidR="00294DBF" w:rsidRPr="008173C7">
        <w:rPr>
          <w:rFonts w:cs="Times New Roman"/>
          <w:lang w:val="en-US"/>
        </w:rPr>
        <w:t xml:space="preserve"> </w:t>
      </w:r>
    </w:p>
    <w:p w14:paraId="4E6DBE66" w14:textId="522F50C4" w:rsidR="00774D58" w:rsidRPr="008173C7" w:rsidRDefault="00DA7E42" w:rsidP="000401BB">
      <w:pPr>
        <w:spacing w:line="480" w:lineRule="auto"/>
        <w:rPr>
          <w:rFonts w:cs="Times New Roman"/>
          <w:lang w:val="en-US"/>
        </w:rPr>
      </w:pPr>
      <w:r w:rsidRPr="00DA7E42">
        <w:rPr>
          <w:rFonts w:cs="Times New Roman"/>
          <w:lang w:val="en-US"/>
        </w:rPr>
        <w:t xml:space="preserve">Arnold et al. </w:t>
      </w:r>
      <w:r w:rsidR="0016494E">
        <w:rPr>
          <w:rFonts w:cs="Times New Roman"/>
          <w:lang w:val="en-US"/>
        </w:rPr>
        <w:t>(</w:t>
      </w:r>
      <w:r w:rsidRPr="00DA7E42">
        <w:rPr>
          <w:rFonts w:cs="Times New Roman"/>
          <w:lang w:val="en-US"/>
        </w:rPr>
        <w:t>2005)</w:t>
      </w:r>
      <w:r w:rsidR="007400A1" w:rsidRPr="008173C7">
        <w:rPr>
          <w:rFonts w:cs="Times New Roman"/>
          <w:lang w:val="en-US"/>
        </w:rPr>
        <w:t xml:space="preserve"> point out that panelists often </w:t>
      </w:r>
      <w:r w:rsidR="00B308C6" w:rsidRPr="008173C7">
        <w:rPr>
          <w:rFonts w:cs="Times New Roman"/>
          <w:lang w:val="en-US"/>
        </w:rPr>
        <w:t xml:space="preserve">are </w:t>
      </w:r>
      <w:r w:rsidR="007400A1" w:rsidRPr="008173C7">
        <w:rPr>
          <w:rFonts w:cs="Times New Roman"/>
          <w:lang w:val="en-US"/>
        </w:rPr>
        <w:t xml:space="preserve">not explicit about how </w:t>
      </w:r>
      <w:r w:rsidR="00B308C6" w:rsidRPr="008173C7">
        <w:rPr>
          <w:rFonts w:cs="Times New Roman"/>
          <w:lang w:val="en-US"/>
        </w:rPr>
        <w:t xml:space="preserve">their </w:t>
      </w:r>
      <w:r w:rsidR="007400A1" w:rsidRPr="008173C7">
        <w:rPr>
          <w:rFonts w:cs="Times New Roman"/>
          <w:lang w:val="en-US"/>
        </w:rPr>
        <w:t xml:space="preserve">judgments are made, </w:t>
      </w:r>
      <w:r w:rsidR="00A0568E" w:rsidRPr="008173C7">
        <w:rPr>
          <w:rFonts w:cs="Times New Roman"/>
          <w:lang w:val="en-US"/>
        </w:rPr>
        <w:t xml:space="preserve">and </w:t>
      </w:r>
      <w:r w:rsidR="007400A1" w:rsidRPr="008173C7">
        <w:rPr>
          <w:rFonts w:cs="Times New Roman"/>
          <w:lang w:val="en-US"/>
        </w:rPr>
        <w:t xml:space="preserve">traditionally </w:t>
      </w:r>
      <w:r w:rsidR="00A0568E" w:rsidRPr="008173C7">
        <w:rPr>
          <w:rFonts w:cs="Times New Roman"/>
          <w:lang w:val="en-US"/>
        </w:rPr>
        <w:t>act as "the authority"</w:t>
      </w:r>
      <w:r w:rsidR="007400A1" w:rsidRPr="008173C7">
        <w:rPr>
          <w:rFonts w:cs="Times New Roman"/>
          <w:lang w:val="en-US"/>
        </w:rPr>
        <w:t>.</w:t>
      </w:r>
      <w:r w:rsidR="00782E2A" w:rsidRPr="008173C7">
        <w:rPr>
          <w:rFonts w:cs="Times New Roman"/>
          <w:lang w:val="en-US"/>
        </w:rPr>
        <w:t xml:space="preserve"> This </w:t>
      </w:r>
      <w:r w:rsidR="00B63EA2" w:rsidRPr="008173C7">
        <w:rPr>
          <w:rFonts w:cs="Times New Roman"/>
          <w:lang w:val="en-US"/>
        </w:rPr>
        <w:t>hinder</w:t>
      </w:r>
      <w:r w:rsidR="00A0568E" w:rsidRPr="008173C7">
        <w:rPr>
          <w:rFonts w:cs="Times New Roman"/>
          <w:lang w:val="en-US"/>
        </w:rPr>
        <w:t>s</w:t>
      </w:r>
      <w:r w:rsidR="005910D1" w:rsidRPr="008173C7">
        <w:rPr>
          <w:rFonts w:cs="Times New Roman"/>
          <w:lang w:val="en-US"/>
        </w:rPr>
        <w:t xml:space="preserve"> </w:t>
      </w:r>
      <w:r w:rsidR="00782E2A" w:rsidRPr="008173C7">
        <w:rPr>
          <w:rFonts w:cs="Times New Roman"/>
          <w:lang w:val="en-US"/>
        </w:rPr>
        <w:t>transparency and consisten</w:t>
      </w:r>
      <w:r w:rsidR="00A0568E" w:rsidRPr="008173C7">
        <w:rPr>
          <w:rFonts w:cs="Times New Roman"/>
          <w:lang w:val="en-US"/>
        </w:rPr>
        <w:t>t</w:t>
      </w:r>
      <w:r w:rsidR="00782E2A" w:rsidRPr="008173C7">
        <w:rPr>
          <w:rFonts w:cs="Times New Roman"/>
          <w:lang w:val="en-US"/>
        </w:rPr>
        <w:t xml:space="preserve"> </w:t>
      </w:r>
      <w:r w:rsidR="005910D1" w:rsidRPr="008173C7">
        <w:rPr>
          <w:rFonts w:cs="Times New Roman"/>
          <w:lang w:val="en-US"/>
        </w:rPr>
        <w:t>evaluation</w:t>
      </w:r>
      <w:r w:rsidR="00B63EA2" w:rsidRPr="008173C7">
        <w:rPr>
          <w:rFonts w:cs="Times New Roman"/>
          <w:lang w:val="en-US"/>
        </w:rPr>
        <w:t xml:space="preserve"> </w:t>
      </w:r>
      <w:r w:rsidR="0016494E">
        <w:rPr>
          <w:rFonts w:cs="Times New Roman"/>
          <w:lang w:val="en-US"/>
        </w:rPr>
        <w:t>(Langfeldt 2004; Samuel and</w:t>
      </w:r>
      <w:r w:rsidRPr="00DA7E42">
        <w:rPr>
          <w:rFonts w:cs="Times New Roman"/>
          <w:lang w:val="en-US"/>
        </w:rPr>
        <w:t xml:space="preserve"> Derrick 2015)</w:t>
      </w:r>
      <w:r w:rsidR="00EB45B3" w:rsidRPr="008173C7">
        <w:rPr>
          <w:rFonts w:cs="Times New Roman"/>
          <w:lang w:val="en-US"/>
        </w:rPr>
        <w:t>.</w:t>
      </w:r>
      <w:r w:rsidR="00FD09D7" w:rsidRPr="008173C7">
        <w:rPr>
          <w:rFonts w:cs="Times New Roman"/>
          <w:lang w:val="en-US"/>
        </w:rPr>
        <w:t xml:space="preserve"> Experts </w:t>
      </w:r>
      <w:r w:rsidR="00B308C6" w:rsidRPr="008173C7">
        <w:rPr>
          <w:rFonts w:cs="Times New Roman"/>
          <w:lang w:val="en-US"/>
        </w:rPr>
        <w:t xml:space="preserve">should be encouraged </w:t>
      </w:r>
      <w:r w:rsidR="00FD09D7" w:rsidRPr="008173C7">
        <w:rPr>
          <w:rFonts w:cs="Times New Roman"/>
          <w:lang w:val="en-US"/>
        </w:rPr>
        <w:t>to discuss their evaluation rationale</w:t>
      </w:r>
      <w:r w:rsidR="00B308C6" w:rsidRPr="008173C7">
        <w:rPr>
          <w:rFonts w:cs="Times New Roman"/>
          <w:lang w:val="en-US"/>
        </w:rPr>
        <w:t>s</w:t>
      </w:r>
      <w:r w:rsidR="00FD09D7" w:rsidRPr="008173C7">
        <w:rPr>
          <w:rFonts w:cs="Times New Roman"/>
          <w:lang w:val="en-US"/>
        </w:rPr>
        <w:t>.</w:t>
      </w:r>
    </w:p>
    <w:p w14:paraId="632E2DC3" w14:textId="178F4D4E" w:rsidR="00043BFD" w:rsidRPr="008173C7" w:rsidRDefault="00043BFD" w:rsidP="000401BB">
      <w:pPr>
        <w:spacing w:line="480" w:lineRule="auto"/>
        <w:rPr>
          <w:rFonts w:cs="Times New Roman"/>
          <w:lang w:val="en-US"/>
        </w:rPr>
      </w:pPr>
      <w:r w:rsidRPr="008173C7">
        <w:rPr>
          <w:rFonts w:cs="Times New Roman"/>
          <w:lang w:val="en-US"/>
        </w:rPr>
        <w:t xml:space="preserve">Building on </w:t>
      </w:r>
      <w:r w:rsidR="00A0568E" w:rsidRPr="008173C7">
        <w:rPr>
          <w:rFonts w:cs="Times New Roman"/>
          <w:lang w:val="en-US"/>
        </w:rPr>
        <w:t xml:space="preserve">this </w:t>
      </w:r>
      <w:r w:rsidR="00A72988" w:rsidRPr="008173C7">
        <w:rPr>
          <w:rFonts w:cs="Times New Roman"/>
          <w:lang w:val="en-US"/>
        </w:rPr>
        <w:t>experience</w:t>
      </w:r>
      <w:r w:rsidR="00A84DB8" w:rsidRPr="008173C7">
        <w:rPr>
          <w:rFonts w:cs="Times New Roman"/>
          <w:lang w:val="en-US"/>
        </w:rPr>
        <w:t xml:space="preserve">, </w:t>
      </w:r>
      <w:r w:rsidR="00A0568E" w:rsidRPr="008173C7">
        <w:rPr>
          <w:rFonts w:cs="Times New Roman"/>
          <w:lang w:val="en-US"/>
        </w:rPr>
        <w:t xml:space="preserve">our decision to consult </w:t>
      </w:r>
      <w:r w:rsidR="00A72988" w:rsidRPr="008173C7">
        <w:rPr>
          <w:rFonts w:cs="Times New Roman"/>
          <w:lang w:val="en-US"/>
        </w:rPr>
        <w:t xml:space="preserve">an </w:t>
      </w:r>
      <w:r w:rsidRPr="008173C7">
        <w:rPr>
          <w:rFonts w:cs="Times New Roman"/>
          <w:lang w:val="en-US"/>
        </w:rPr>
        <w:t xml:space="preserve">expert panel was adapted </w:t>
      </w:r>
      <w:r w:rsidR="00A0568E" w:rsidRPr="008173C7">
        <w:rPr>
          <w:rFonts w:cs="Times New Roman"/>
          <w:lang w:val="en-US"/>
        </w:rPr>
        <w:t xml:space="preserve">to </w:t>
      </w:r>
      <w:r w:rsidR="00F229C7" w:rsidRPr="008173C7">
        <w:rPr>
          <w:rFonts w:cs="Times New Roman"/>
          <w:lang w:val="en-US"/>
        </w:rPr>
        <w:t>our</w:t>
      </w:r>
      <w:r w:rsidR="00A72988" w:rsidRPr="008173C7">
        <w:rPr>
          <w:rFonts w:cs="Times New Roman"/>
          <w:lang w:val="en-US"/>
        </w:rPr>
        <w:t xml:space="preserve"> goal of transparent</w:t>
      </w:r>
      <w:r w:rsidR="00A0568E" w:rsidRPr="008173C7">
        <w:rPr>
          <w:rFonts w:cs="Times New Roman"/>
          <w:lang w:val="en-US"/>
        </w:rPr>
        <w:t>,</w:t>
      </w:r>
      <w:r w:rsidR="00A72988" w:rsidRPr="008173C7">
        <w:rPr>
          <w:rFonts w:cs="Times New Roman"/>
          <w:lang w:val="en-US"/>
        </w:rPr>
        <w:t xml:space="preserve"> </w:t>
      </w:r>
      <w:r w:rsidR="00BC7FD0" w:rsidRPr="008173C7">
        <w:rPr>
          <w:rFonts w:cs="Times New Roman"/>
          <w:lang w:val="en-US"/>
        </w:rPr>
        <w:t xml:space="preserve">consistent </w:t>
      </w:r>
      <w:r w:rsidR="00A72988" w:rsidRPr="008173C7">
        <w:rPr>
          <w:rFonts w:cs="Times New Roman"/>
          <w:lang w:val="en-US"/>
        </w:rPr>
        <w:t>judgment</w:t>
      </w:r>
      <w:r w:rsidR="00A84DB8" w:rsidRPr="008173C7">
        <w:rPr>
          <w:rFonts w:cs="Times New Roman"/>
          <w:lang w:val="en-US"/>
        </w:rPr>
        <w:t xml:space="preserve">. </w:t>
      </w:r>
      <w:r w:rsidR="00A72988" w:rsidRPr="008173C7">
        <w:rPr>
          <w:rFonts w:cs="Times New Roman"/>
          <w:lang w:val="en-US"/>
        </w:rPr>
        <w:t xml:space="preserve">Following the recommendations </w:t>
      </w:r>
      <w:r w:rsidR="00A0568E" w:rsidRPr="008173C7">
        <w:rPr>
          <w:rFonts w:cs="Times New Roman"/>
          <w:lang w:val="en-US"/>
        </w:rPr>
        <w:t xml:space="preserve">in </w:t>
      </w:r>
      <w:r w:rsidR="00A72988" w:rsidRPr="008173C7">
        <w:rPr>
          <w:rFonts w:cs="Times New Roman"/>
          <w:lang w:val="en-US"/>
        </w:rPr>
        <w:t xml:space="preserve">the literature, we </w:t>
      </w:r>
      <w:r w:rsidR="00A0568E" w:rsidRPr="008173C7">
        <w:rPr>
          <w:rFonts w:cs="Times New Roman"/>
          <w:lang w:val="en-US"/>
        </w:rPr>
        <w:t xml:space="preserve">constructed </w:t>
      </w:r>
      <w:r w:rsidR="00A72988" w:rsidRPr="008173C7">
        <w:rPr>
          <w:rFonts w:cs="Times New Roman"/>
          <w:lang w:val="en-US"/>
        </w:rPr>
        <w:t xml:space="preserve">a panel </w:t>
      </w:r>
      <w:r w:rsidR="00A0568E" w:rsidRPr="008173C7">
        <w:rPr>
          <w:rFonts w:cs="Times New Roman"/>
          <w:lang w:val="en-US"/>
        </w:rPr>
        <w:t xml:space="preserve">taking account of panel </w:t>
      </w:r>
      <w:r w:rsidR="002B4ADC" w:rsidRPr="008173C7">
        <w:rPr>
          <w:rFonts w:cs="Times New Roman"/>
          <w:lang w:val="en-US"/>
        </w:rPr>
        <w:t>size, seniority</w:t>
      </w:r>
      <w:r w:rsidR="00F321FD" w:rsidRPr="008173C7">
        <w:rPr>
          <w:rFonts w:cs="Times New Roman"/>
          <w:lang w:val="en-US"/>
        </w:rPr>
        <w:t xml:space="preserve"> of panelists</w:t>
      </w:r>
      <w:r w:rsidR="00A0568E" w:rsidRPr="008173C7">
        <w:rPr>
          <w:rFonts w:cs="Times New Roman"/>
          <w:lang w:val="en-US"/>
        </w:rPr>
        <w:t>,</w:t>
      </w:r>
      <w:r w:rsidR="002B4ADC" w:rsidRPr="008173C7">
        <w:rPr>
          <w:rFonts w:cs="Times New Roman"/>
          <w:lang w:val="en-US"/>
        </w:rPr>
        <w:t xml:space="preserve"> and overlapping</w:t>
      </w:r>
      <w:r w:rsidR="00A72988" w:rsidRPr="008173C7">
        <w:rPr>
          <w:rFonts w:cs="Times New Roman"/>
          <w:lang w:val="en-US"/>
        </w:rPr>
        <w:t xml:space="preserve"> </w:t>
      </w:r>
      <w:r w:rsidR="00A0568E" w:rsidRPr="008173C7">
        <w:rPr>
          <w:rFonts w:cs="Times New Roman"/>
          <w:lang w:val="en-US"/>
        </w:rPr>
        <w:t>competences</w:t>
      </w:r>
      <w:r w:rsidR="00A72988" w:rsidRPr="008173C7">
        <w:rPr>
          <w:rFonts w:cs="Times New Roman"/>
          <w:lang w:val="en-US"/>
        </w:rPr>
        <w:t>.</w:t>
      </w:r>
    </w:p>
    <w:p w14:paraId="7D9E8274" w14:textId="18C7EC8F" w:rsidR="00E26445" w:rsidRPr="008173C7" w:rsidRDefault="00CB2E92" w:rsidP="000401BB">
      <w:pPr>
        <w:spacing w:line="480" w:lineRule="auto"/>
        <w:rPr>
          <w:rFonts w:cs="Times New Roman"/>
          <w:b/>
          <w:bCs/>
          <w:u w:val="single"/>
          <w:lang w:val="en-US"/>
        </w:rPr>
      </w:pPr>
      <w:r w:rsidRPr="008173C7">
        <w:rPr>
          <w:rFonts w:cs="Times New Roman"/>
          <w:b/>
          <w:bCs/>
          <w:u w:val="single"/>
          <w:lang w:val="en-US"/>
        </w:rPr>
        <w:t xml:space="preserve">2.2.2 Implementing the </w:t>
      </w:r>
      <w:r w:rsidR="00805A9C" w:rsidRPr="008173C7">
        <w:rPr>
          <w:rFonts w:cs="Times New Roman"/>
          <w:b/>
          <w:bCs/>
          <w:u w:val="single"/>
          <w:lang w:val="en-US"/>
        </w:rPr>
        <w:t>e</w:t>
      </w:r>
      <w:r w:rsidRPr="008173C7">
        <w:rPr>
          <w:rFonts w:cs="Times New Roman"/>
          <w:b/>
          <w:bCs/>
          <w:u w:val="single"/>
          <w:lang w:val="en-US"/>
        </w:rPr>
        <w:t>xpert judgment: t</w:t>
      </w:r>
      <w:r w:rsidR="00E45897" w:rsidRPr="008173C7">
        <w:rPr>
          <w:rFonts w:cs="Times New Roman"/>
          <w:b/>
          <w:bCs/>
          <w:u w:val="single"/>
          <w:lang w:val="en-US"/>
        </w:rPr>
        <w:t>he meeting of the expert panel and the</w:t>
      </w:r>
      <w:r w:rsidR="00522297" w:rsidRPr="008173C7">
        <w:rPr>
          <w:rFonts w:cs="Times New Roman"/>
          <w:b/>
          <w:bCs/>
          <w:u w:val="single"/>
          <w:lang w:val="en-US"/>
        </w:rPr>
        <w:t xml:space="preserve"> building </w:t>
      </w:r>
      <w:r w:rsidR="00E45897" w:rsidRPr="008173C7">
        <w:rPr>
          <w:rFonts w:cs="Times New Roman"/>
          <w:b/>
          <w:bCs/>
          <w:u w:val="single"/>
          <w:lang w:val="en-US"/>
        </w:rPr>
        <w:t xml:space="preserve">of </w:t>
      </w:r>
      <w:r w:rsidR="00522297" w:rsidRPr="008173C7">
        <w:rPr>
          <w:rFonts w:cs="Times New Roman"/>
          <w:b/>
          <w:bCs/>
          <w:u w:val="single"/>
          <w:lang w:val="en-US"/>
        </w:rPr>
        <w:t xml:space="preserve">a </w:t>
      </w:r>
      <w:r w:rsidR="00BD74AD" w:rsidRPr="008173C7">
        <w:rPr>
          <w:rFonts w:cs="Times New Roman"/>
          <w:b/>
          <w:bCs/>
          <w:u w:val="single"/>
          <w:lang w:val="en-US"/>
        </w:rPr>
        <w:t>ratin</w:t>
      </w:r>
      <w:r w:rsidR="00522297" w:rsidRPr="008173C7">
        <w:rPr>
          <w:rFonts w:cs="Times New Roman"/>
          <w:b/>
          <w:bCs/>
          <w:u w:val="single"/>
          <w:lang w:val="en-US"/>
        </w:rPr>
        <w:t xml:space="preserve">g </w:t>
      </w:r>
      <w:r w:rsidR="00665F50" w:rsidRPr="008173C7">
        <w:rPr>
          <w:rFonts w:cs="Times New Roman"/>
          <w:b/>
          <w:bCs/>
          <w:u w:val="single"/>
          <w:lang w:val="en-US"/>
        </w:rPr>
        <w:t>scale</w:t>
      </w:r>
    </w:p>
    <w:p w14:paraId="204542DE" w14:textId="6EB218BE" w:rsidR="001465D4" w:rsidRPr="008173C7" w:rsidRDefault="008468D8" w:rsidP="000401BB">
      <w:pPr>
        <w:spacing w:line="480" w:lineRule="auto"/>
        <w:rPr>
          <w:rFonts w:cs="Times New Roman"/>
          <w:lang w:val="en-US"/>
        </w:rPr>
      </w:pPr>
      <w:r w:rsidRPr="008173C7">
        <w:rPr>
          <w:rFonts w:cs="Times New Roman"/>
          <w:lang w:val="en-US"/>
        </w:rPr>
        <w:t>The consultation was carried out in two steps: experts were asked first remotely</w:t>
      </w:r>
      <w:r w:rsidR="00291125" w:rsidRPr="008173C7">
        <w:rPr>
          <w:rFonts w:cs="Times New Roman"/>
          <w:lang w:val="en-US"/>
        </w:rPr>
        <w:t xml:space="preserve"> and individually</w:t>
      </w:r>
      <w:r w:rsidRPr="008173C7">
        <w:rPr>
          <w:rFonts w:cs="Times New Roman"/>
          <w:lang w:val="en-US"/>
        </w:rPr>
        <w:t xml:space="preserve"> </w:t>
      </w:r>
      <w:r w:rsidR="009E3F22" w:rsidRPr="008173C7">
        <w:rPr>
          <w:rFonts w:cs="Times New Roman"/>
          <w:lang w:val="en-US"/>
        </w:rPr>
        <w:t xml:space="preserve">to </w:t>
      </w:r>
      <w:r w:rsidRPr="008173C7">
        <w:rPr>
          <w:rFonts w:cs="Times New Roman"/>
          <w:lang w:val="en-US"/>
        </w:rPr>
        <w:t xml:space="preserve">rate </w:t>
      </w:r>
      <w:r w:rsidR="00673D8D" w:rsidRPr="008173C7">
        <w:rPr>
          <w:rFonts w:cs="Times New Roman"/>
          <w:lang w:val="en-US"/>
        </w:rPr>
        <w:t xml:space="preserve">the pilot </w:t>
      </w:r>
      <w:r w:rsidR="005F2A9D" w:rsidRPr="008173C7">
        <w:rPr>
          <w:rFonts w:cs="Times New Roman"/>
          <w:lang w:val="en-US"/>
        </w:rPr>
        <w:t>cases</w:t>
      </w:r>
      <w:r w:rsidR="009E3F22" w:rsidRPr="008173C7">
        <w:rPr>
          <w:rFonts w:cs="Times New Roman"/>
          <w:lang w:val="en-US"/>
        </w:rPr>
        <w:t xml:space="preserve"> before meeting up to discuss </w:t>
      </w:r>
      <w:r w:rsidR="00F321FD" w:rsidRPr="008173C7">
        <w:rPr>
          <w:rFonts w:cs="Times New Roman"/>
          <w:lang w:val="en-US"/>
        </w:rPr>
        <w:t>their ratings</w:t>
      </w:r>
      <w:r w:rsidRPr="008173C7">
        <w:rPr>
          <w:rFonts w:cs="Times New Roman"/>
          <w:lang w:val="en-US"/>
        </w:rPr>
        <w:t>.</w:t>
      </w:r>
      <w:r w:rsidR="00D52CC1" w:rsidRPr="008173C7">
        <w:rPr>
          <w:rFonts w:cs="Times New Roman"/>
          <w:lang w:val="en-US"/>
        </w:rPr>
        <w:t xml:space="preserve"> </w:t>
      </w:r>
    </w:p>
    <w:p w14:paraId="061F4B3D" w14:textId="1AC5E752" w:rsidR="00B242E6" w:rsidRPr="008173C7" w:rsidRDefault="00F321FD" w:rsidP="000401BB">
      <w:pPr>
        <w:spacing w:line="480" w:lineRule="auto"/>
        <w:rPr>
          <w:rFonts w:cs="Times New Roman"/>
          <w:lang w:val="en-US"/>
        </w:rPr>
      </w:pPr>
      <w:r w:rsidRPr="008173C7">
        <w:rPr>
          <w:rFonts w:cs="Times New Roman"/>
          <w:lang w:val="en-US"/>
        </w:rPr>
        <w:t xml:space="preserve">We </w:t>
      </w:r>
      <w:r w:rsidR="008B64CF" w:rsidRPr="008173C7">
        <w:rPr>
          <w:rFonts w:cs="Times New Roman"/>
          <w:lang w:val="en-US"/>
        </w:rPr>
        <w:t xml:space="preserve">selected </w:t>
      </w:r>
      <w:r w:rsidR="00382636" w:rsidRPr="008173C7">
        <w:rPr>
          <w:rFonts w:cs="Times New Roman"/>
          <w:lang w:val="en-US"/>
        </w:rPr>
        <w:t>five</w:t>
      </w:r>
      <w:r w:rsidR="00272FD5" w:rsidRPr="008173C7">
        <w:rPr>
          <w:rFonts w:cs="Times New Roman"/>
          <w:lang w:val="en-US"/>
        </w:rPr>
        <w:t xml:space="preserve"> experts </w:t>
      </w:r>
      <w:r w:rsidR="008B64CF" w:rsidRPr="008173C7">
        <w:rPr>
          <w:rFonts w:cs="Times New Roman"/>
          <w:lang w:val="en-US"/>
        </w:rPr>
        <w:t xml:space="preserve">on the basis of their experience </w:t>
      </w:r>
      <w:r w:rsidR="00272FD5" w:rsidRPr="008173C7">
        <w:rPr>
          <w:rFonts w:cs="Times New Roman"/>
          <w:lang w:val="en-US"/>
        </w:rPr>
        <w:t xml:space="preserve">in </w:t>
      </w:r>
      <w:r w:rsidR="001937CB" w:rsidRPr="008173C7">
        <w:rPr>
          <w:rFonts w:cs="Times New Roman"/>
          <w:lang w:val="en-US"/>
        </w:rPr>
        <w:t xml:space="preserve">assessment of the </w:t>
      </w:r>
      <w:r w:rsidR="002D6480" w:rsidRPr="008173C7">
        <w:rPr>
          <w:rFonts w:cs="Times New Roman"/>
          <w:lang w:val="en-US"/>
        </w:rPr>
        <w:t>impact of research on</w:t>
      </w:r>
      <w:r w:rsidR="001937CB" w:rsidRPr="008173C7">
        <w:rPr>
          <w:rFonts w:cs="Times New Roman"/>
          <w:lang w:val="en-US"/>
        </w:rPr>
        <w:t xml:space="preserve"> </w:t>
      </w:r>
      <w:r w:rsidR="00272FD5" w:rsidRPr="008173C7">
        <w:rPr>
          <w:rFonts w:cs="Times New Roman"/>
          <w:lang w:val="en-US"/>
        </w:rPr>
        <w:t>policy</w:t>
      </w:r>
      <w:r w:rsidR="00445099" w:rsidRPr="008173C7">
        <w:rPr>
          <w:rFonts w:cs="Times New Roman"/>
          <w:lang w:val="en-US"/>
        </w:rPr>
        <w:t>-making</w:t>
      </w:r>
      <w:r w:rsidR="00FC6547" w:rsidRPr="008173C7">
        <w:rPr>
          <w:rFonts w:cs="Times New Roman"/>
          <w:lang w:val="en-US"/>
        </w:rPr>
        <w:t xml:space="preserve">. </w:t>
      </w:r>
      <w:r w:rsidR="00311ED9" w:rsidRPr="008173C7">
        <w:rPr>
          <w:rFonts w:cs="Times New Roman"/>
          <w:lang w:val="en-US"/>
        </w:rPr>
        <w:t xml:space="preserve">All </w:t>
      </w:r>
      <w:r w:rsidR="009E3F22" w:rsidRPr="008173C7">
        <w:rPr>
          <w:rFonts w:cs="Times New Roman"/>
          <w:lang w:val="en-US"/>
        </w:rPr>
        <w:t xml:space="preserve">were </w:t>
      </w:r>
      <w:r w:rsidR="00311ED9" w:rsidRPr="008173C7">
        <w:rPr>
          <w:rFonts w:cs="Times New Roman"/>
          <w:lang w:val="en-US"/>
        </w:rPr>
        <w:t>French</w:t>
      </w:r>
      <w:r w:rsidR="009E3F22" w:rsidRPr="008173C7">
        <w:rPr>
          <w:rFonts w:cs="Times New Roman"/>
          <w:lang w:val="en-US"/>
        </w:rPr>
        <w:t xml:space="preserve"> nationals with </w:t>
      </w:r>
      <w:r w:rsidRPr="008173C7">
        <w:rPr>
          <w:rFonts w:cs="Times New Roman"/>
          <w:lang w:val="en-US"/>
        </w:rPr>
        <w:t xml:space="preserve">a </w:t>
      </w:r>
      <w:r w:rsidR="00311ED9" w:rsidRPr="008173C7">
        <w:rPr>
          <w:rFonts w:cs="Times New Roman"/>
          <w:lang w:val="en-US"/>
        </w:rPr>
        <w:t xml:space="preserve">research background. </w:t>
      </w:r>
      <w:r w:rsidR="00FC6547" w:rsidRPr="008173C7">
        <w:rPr>
          <w:rFonts w:cs="Times New Roman"/>
          <w:lang w:val="en-US"/>
        </w:rPr>
        <w:t xml:space="preserve">We </w:t>
      </w:r>
      <w:r w:rsidR="009E3F22" w:rsidRPr="008173C7">
        <w:rPr>
          <w:rFonts w:cs="Times New Roman"/>
          <w:lang w:val="en-US"/>
        </w:rPr>
        <w:t xml:space="preserve">chose </w:t>
      </w:r>
      <w:r w:rsidR="00EC54E6" w:rsidRPr="008173C7">
        <w:rPr>
          <w:rFonts w:cs="Times New Roman"/>
          <w:lang w:val="en-US"/>
        </w:rPr>
        <w:t>a small</w:t>
      </w:r>
      <w:r w:rsidR="00FC6547" w:rsidRPr="008173C7">
        <w:rPr>
          <w:rFonts w:cs="Times New Roman"/>
          <w:lang w:val="en-US"/>
        </w:rPr>
        <w:t xml:space="preserve"> panel to promote </w:t>
      </w:r>
      <w:r w:rsidR="007E530B" w:rsidRPr="008173C7">
        <w:rPr>
          <w:rFonts w:cs="Times New Roman"/>
          <w:lang w:val="en-US"/>
        </w:rPr>
        <w:t xml:space="preserve">strong </w:t>
      </w:r>
      <w:r w:rsidR="00CB3840" w:rsidRPr="008173C7">
        <w:rPr>
          <w:rFonts w:cs="Times New Roman"/>
          <w:lang w:val="en-US"/>
        </w:rPr>
        <w:t>interaction</w:t>
      </w:r>
      <w:r w:rsidR="007E530B" w:rsidRPr="008173C7">
        <w:rPr>
          <w:rFonts w:cs="Times New Roman"/>
          <w:lang w:val="en-US"/>
        </w:rPr>
        <w:t>s</w:t>
      </w:r>
      <w:r w:rsidR="00CB3840" w:rsidRPr="008173C7">
        <w:rPr>
          <w:rFonts w:cs="Times New Roman"/>
          <w:lang w:val="en-US"/>
        </w:rPr>
        <w:t xml:space="preserve"> and</w:t>
      </w:r>
      <w:r w:rsidR="00CC3CF5" w:rsidRPr="008173C7">
        <w:rPr>
          <w:rFonts w:cs="Times New Roman"/>
          <w:lang w:val="en-US"/>
        </w:rPr>
        <w:t xml:space="preserve"> intense deliberations but account for overlapping competences</w:t>
      </w:r>
      <w:r w:rsidR="00FC6547" w:rsidRPr="008173C7">
        <w:rPr>
          <w:rFonts w:cs="Times New Roman"/>
          <w:lang w:val="en-US"/>
        </w:rPr>
        <w:t xml:space="preserve">. </w:t>
      </w:r>
      <w:r w:rsidR="001937CB" w:rsidRPr="008173C7">
        <w:rPr>
          <w:rFonts w:cs="Times New Roman"/>
          <w:lang w:val="en-US"/>
        </w:rPr>
        <w:t xml:space="preserve">Three </w:t>
      </w:r>
      <w:r w:rsidR="00311ED9" w:rsidRPr="008173C7">
        <w:rPr>
          <w:rFonts w:cs="Times New Roman"/>
          <w:lang w:val="en-US"/>
        </w:rPr>
        <w:t xml:space="preserve">experts </w:t>
      </w:r>
      <w:r w:rsidRPr="008173C7">
        <w:rPr>
          <w:rFonts w:cs="Times New Roman"/>
          <w:lang w:val="en-US"/>
        </w:rPr>
        <w:t xml:space="preserve">were </w:t>
      </w:r>
      <w:r w:rsidR="009E3F22" w:rsidRPr="008173C7">
        <w:rPr>
          <w:rFonts w:cs="Times New Roman"/>
          <w:lang w:val="en-US"/>
        </w:rPr>
        <w:t xml:space="preserve">from </w:t>
      </w:r>
      <w:r w:rsidR="006D5283" w:rsidRPr="008173C7">
        <w:rPr>
          <w:rFonts w:cs="Times New Roman"/>
          <w:lang w:val="en-US"/>
        </w:rPr>
        <w:t>the</w:t>
      </w:r>
      <w:r w:rsidR="005C7AC0" w:rsidRPr="008173C7">
        <w:rPr>
          <w:rFonts w:cs="Times New Roman"/>
          <w:lang w:val="en-US"/>
        </w:rPr>
        <w:t xml:space="preserve"> three</w:t>
      </w:r>
      <w:r w:rsidR="006D5283" w:rsidRPr="008173C7">
        <w:rPr>
          <w:rFonts w:cs="Times New Roman"/>
          <w:lang w:val="en-US"/>
        </w:rPr>
        <w:t xml:space="preserve"> </w:t>
      </w:r>
      <w:r w:rsidR="001937CB" w:rsidRPr="008173C7">
        <w:rPr>
          <w:rFonts w:cs="Times New Roman"/>
          <w:lang w:val="en-US"/>
        </w:rPr>
        <w:t>ministries</w:t>
      </w:r>
      <w:r w:rsidR="00FC6547" w:rsidRPr="008173C7">
        <w:rPr>
          <w:rFonts w:cs="Times New Roman"/>
          <w:lang w:val="en-US"/>
        </w:rPr>
        <w:t xml:space="preserve"> </w:t>
      </w:r>
      <w:r w:rsidR="006D5283" w:rsidRPr="008173C7">
        <w:rPr>
          <w:rFonts w:cs="Times New Roman"/>
          <w:lang w:val="en-US"/>
        </w:rPr>
        <w:t xml:space="preserve">that were </w:t>
      </w:r>
      <w:r w:rsidRPr="008173C7">
        <w:rPr>
          <w:rFonts w:cs="Times New Roman"/>
          <w:lang w:val="en-US"/>
        </w:rPr>
        <w:t xml:space="preserve">the </w:t>
      </w:r>
      <w:r w:rsidR="006D5283" w:rsidRPr="008173C7">
        <w:rPr>
          <w:rFonts w:cs="Times New Roman"/>
          <w:lang w:val="en-US"/>
        </w:rPr>
        <w:t xml:space="preserve">potential users of the research </w:t>
      </w:r>
      <w:r w:rsidR="00EC54E6" w:rsidRPr="008173C7">
        <w:rPr>
          <w:rFonts w:cs="Times New Roman"/>
          <w:lang w:val="en-US"/>
        </w:rPr>
        <w:t>knowledge produced in</w:t>
      </w:r>
      <w:r w:rsidR="006D5283" w:rsidRPr="008173C7">
        <w:rPr>
          <w:rFonts w:cs="Times New Roman"/>
          <w:lang w:val="en-US"/>
        </w:rPr>
        <w:t xml:space="preserve"> the case studies</w:t>
      </w:r>
      <w:r w:rsidR="00990D7B" w:rsidRPr="008173C7">
        <w:rPr>
          <w:rFonts w:cs="Times New Roman"/>
          <w:lang w:val="en-US"/>
        </w:rPr>
        <w:t>;</w:t>
      </w:r>
      <w:r w:rsidR="006D5283" w:rsidRPr="008173C7">
        <w:rPr>
          <w:rFonts w:cs="Times New Roman"/>
          <w:lang w:val="en-US"/>
        </w:rPr>
        <w:t xml:space="preserve"> </w:t>
      </w:r>
      <w:r w:rsidR="005C7AC0" w:rsidRPr="008173C7">
        <w:rPr>
          <w:rFonts w:cs="Times New Roman"/>
          <w:lang w:val="en-US"/>
        </w:rPr>
        <w:t>they</w:t>
      </w:r>
      <w:r w:rsidR="006D5283" w:rsidRPr="008173C7">
        <w:rPr>
          <w:rFonts w:cs="Times New Roman"/>
          <w:lang w:val="en-US"/>
        </w:rPr>
        <w:t xml:space="preserve"> were</w:t>
      </w:r>
      <w:r w:rsidR="00990D7B" w:rsidRPr="008173C7">
        <w:rPr>
          <w:rFonts w:cs="Times New Roman"/>
          <w:lang w:val="en-US"/>
        </w:rPr>
        <w:t xml:space="preserve"> appointed </w:t>
      </w:r>
      <w:r w:rsidR="009E3F22" w:rsidRPr="008173C7">
        <w:rPr>
          <w:rFonts w:cs="Times New Roman"/>
          <w:lang w:val="en-US"/>
        </w:rPr>
        <w:t xml:space="preserve">from </w:t>
      </w:r>
      <w:r w:rsidR="00FC6547" w:rsidRPr="008173C7">
        <w:rPr>
          <w:rFonts w:cs="Times New Roman"/>
          <w:lang w:val="en-US"/>
        </w:rPr>
        <w:t xml:space="preserve">divisions dealing with knowledge </w:t>
      </w:r>
      <w:r w:rsidR="009E3F22" w:rsidRPr="008173C7">
        <w:rPr>
          <w:rFonts w:cs="Times New Roman"/>
          <w:lang w:val="en-US"/>
        </w:rPr>
        <w:t xml:space="preserve">to </w:t>
      </w:r>
      <w:r w:rsidR="00FC6547" w:rsidRPr="008173C7">
        <w:rPr>
          <w:rFonts w:cs="Times New Roman"/>
          <w:lang w:val="en-US"/>
        </w:rPr>
        <w:t>public polic</w:t>
      </w:r>
      <w:r w:rsidR="009E3F22" w:rsidRPr="008173C7">
        <w:rPr>
          <w:rFonts w:cs="Times New Roman"/>
          <w:lang w:val="en-US"/>
        </w:rPr>
        <w:t>y</w:t>
      </w:r>
      <w:r w:rsidRPr="008173C7">
        <w:rPr>
          <w:rFonts w:cs="Times New Roman"/>
          <w:lang w:val="en-US"/>
        </w:rPr>
        <w:t xml:space="preserve">. The other </w:t>
      </w:r>
      <w:r w:rsidR="001937CB" w:rsidRPr="008173C7">
        <w:rPr>
          <w:rFonts w:cs="Times New Roman"/>
          <w:lang w:val="en-US"/>
        </w:rPr>
        <w:t xml:space="preserve">two </w:t>
      </w:r>
      <w:r w:rsidR="005C7AC0" w:rsidRPr="008173C7">
        <w:rPr>
          <w:rFonts w:cs="Times New Roman"/>
          <w:lang w:val="en-US"/>
        </w:rPr>
        <w:t xml:space="preserve">experts </w:t>
      </w:r>
      <w:r w:rsidR="001937CB" w:rsidRPr="008173C7">
        <w:rPr>
          <w:rFonts w:cs="Times New Roman"/>
          <w:lang w:val="en-US"/>
        </w:rPr>
        <w:t xml:space="preserve">were </w:t>
      </w:r>
      <w:r w:rsidR="009E3F22" w:rsidRPr="008173C7">
        <w:rPr>
          <w:rFonts w:cs="Times New Roman"/>
          <w:lang w:val="en-US"/>
        </w:rPr>
        <w:t xml:space="preserve">involved in studying </w:t>
      </w:r>
      <w:r w:rsidR="007F6985" w:rsidRPr="008173C7">
        <w:rPr>
          <w:rFonts w:cs="Times New Roman"/>
          <w:lang w:val="en-US"/>
        </w:rPr>
        <w:t xml:space="preserve">the </w:t>
      </w:r>
      <w:r w:rsidR="00EC54E6" w:rsidRPr="008173C7">
        <w:rPr>
          <w:rFonts w:cs="Times New Roman"/>
          <w:lang w:val="en-US"/>
        </w:rPr>
        <w:t>societ</w:t>
      </w:r>
      <w:r w:rsidR="001937CB" w:rsidRPr="008173C7">
        <w:rPr>
          <w:rFonts w:cs="Times New Roman"/>
          <w:lang w:val="en-US"/>
        </w:rPr>
        <w:t xml:space="preserve">al impact of research. </w:t>
      </w:r>
      <w:r w:rsidRPr="008173C7">
        <w:rPr>
          <w:rFonts w:cs="Times New Roman"/>
          <w:lang w:val="en-US"/>
        </w:rPr>
        <w:t xml:space="preserve">All except </w:t>
      </w:r>
      <w:r w:rsidR="009E3F22" w:rsidRPr="008173C7">
        <w:rPr>
          <w:rFonts w:cs="Times New Roman"/>
          <w:lang w:val="en-US"/>
        </w:rPr>
        <w:t>one</w:t>
      </w:r>
      <w:r w:rsidRPr="008173C7">
        <w:rPr>
          <w:rFonts w:cs="Times New Roman"/>
          <w:lang w:val="en-US"/>
        </w:rPr>
        <w:t xml:space="preserve"> </w:t>
      </w:r>
      <w:r w:rsidR="009E3F22" w:rsidRPr="008173C7">
        <w:rPr>
          <w:rFonts w:cs="Times New Roman"/>
          <w:lang w:val="en-US"/>
        </w:rPr>
        <w:t xml:space="preserve">of our </w:t>
      </w:r>
      <w:r w:rsidR="00FC6547" w:rsidRPr="008173C7">
        <w:rPr>
          <w:rFonts w:cs="Times New Roman"/>
          <w:lang w:val="en-US"/>
        </w:rPr>
        <w:t xml:space="preserve">experts </w:t>
      </w:r>
      <w:r w:rsidR="001937CB" w:rsidRPr="008173C7">
        <w:rPr>
          <w:rFonts w:cs="Times New Roman"/>
          <w:lang w:val="en-US"/>
        </w:rPr>
        <w:t>were</w:t>
      </w:r>
      <w:r w:rsidR="00272FD5" w:rsidRPr="008173C7">
        <w:rPr>
          <w:rFonts w:cs="Times New Roman"/>
          <w:lang w:val="en-US"/>
        </w:rPr>
        <w:t xml:space="preserve"> knowledgeable about the agricultural and environmental policies</w:t>
      </w:r>
      <w:r w:rsidR="00912E6E" w:rsidRPr="008173C7">
        <w:rPr>
          <w:rFonts w:cs="Times New Roman"/>
          <w:lang w:val="en-US"/>
        </w:rPr>
        <w:t xml:space="preserve"> </w:t>
      </w:r>
      <w:r w:rsidR="009E3F22" w:rsidRPr="008173C7">
        <w:rPr>
          <w:rFonts w:cs="Times New Roman"/>
          <w:lang w:val="en-US"/>
        </w:rPr>
        <w:t xml:space="preserve">implemented in previous </w:t>
      </w:r>
      <w:r w:rsidR="00912E6E" w:rsidRPr="008173C7">
        <w:rPr>
          <w:rFonts w:cs="Times New Roman"/>
          <w:lang w:val="en-US"/>
        </w:rPr>
        <w:t>decades</w:t>
      </w:r>
      <w:r w:rsidR="009E3F22" w:rsidRPr="008173C7">
        <w:rPr>
          <w:rFonts w:cs="Times New Roman"/>
          <w:lang w:val="en-US"/>
        </w:rPr>
        <w:t xml:space="preserve">; the one exception was involved in </w:t>
      </w:r>
      <w:r w:rsidR="007F6985" w:rsidRPr="008173C7">
        <w:rPr>
          <w:rFonts w:cs="Times New Roman"/>
          <w:lang w:val="en-US"/>
        </w:rPr>
        <w:t>evaluation</w:t>
      </w:r>
      <w:r w:rsidR="009E3F22" w:rsidRPr="008173C7">
        <w:rPr>
          <w:rFonts w:cs="Times New Roman"/>
          <w:lang w:val="en-US"/>
        </w:rPr>
        <w:t xml:space="preserve"> research</w:t>
      </w:r>
      <w:r w:rsidR="006F21D8" w:rsidRPr="008173C7">
        <w:rPr>
          <w:rFonts w:cs="Times New Roman"/>
          <w:lang w:val="en-US"/>
        </w:rPr>
        <w:t>. All</w:t>
      </w:r>
      <w:r w:rsidR="00FC6547" w:rsidRPr="008173C7">
        <w:rPr>
          <w:rFonts w:cs="Times New Roman"/>
          <w:lang w:val="en-US"/>
        </w:rPr>
        <w:t xml:space="preserve"> </w:t>
      </w:r>
      <w:r w:rsidR="009E3F22" w:rsidRPr="008173C7">
        <w:rPr>
          <w:rFonts w:cs="Times New Roman"/>
          <w:lang w:val="en-US"/>
        </w:rPr>
        <w:t xml:space="preserve">the </w:t>
      </w:r>
      <w:r w:rsidR="00C648B9" w:rsidRPr="008173C7">
        <w:rPr>
          <w:rFonts w:cs="Times New Roman"/>
          <w:lang w:val="en-US"/>
        </w:rPr>
        <w:t xml:space="preserve">experts </w:t>
      </w:r>
      <w:r w:rsidR="002C527B" w:rsidRPr="008173C7">
        <w:rPr>
          <w:rFonts w:cs="Times New Roman"/>
          <w:lang w:val="en-US"/>
        </w:rPr>
        <w:t xml:space="preserve">were expected to </w:t>
      </w:r>
      <w:r w:rsidR="009E3F22" w:rsidRPr="008173C7">
        <w:rPr>
          <w:rFonts w:cs="Times New Roman"/>
          <w:lang w:val="en-US"/>
        </w:rPr>
        <w:t xml:space="preserve">take </w:t>
      </w:r>
      <w:r w:rsidR="00990D7B" w:rsidRPr="008173C7">
        <w:rPr>
          <w:rFonts w:cs="Times New Roman"/>
          <w:lang w:val="en-US"/>
        </w:rPr>
        <w:t>similar</w:t>
      </w:r>
      <w:r w:rsidR="00C648B9" w:rsidRPr="008173C7">
        <w:rPr>
          <w:rFonts w:cs="Times New Roman"/>
          <w:lang w:val="en-US"/>
        </w:rPr>
        <w:t xml:space="preserve"> </w:t>
      </w:r>
      <w:r w:rsidR="009E3F22" w:rsidRPr="008173C7">
        <w:rPr>
          <w:rFonts w:cs="Times New Roman"/>
          <w:lang w:val="en-US"/>
        </w:rPr>
        <w:t xml:space="preserve">precedence </w:t>
      </w:r>
      <w:r w:rsidR="00C648B9" w:rsidRPr="008173C7">
        <w:rPr>
          <w:rFonts w:cs="Times New Roman"/>
          <w:lang w:val="en-US"/>
        </w:rPr>
        <w:t>in discussion</w:t>
      </w:r>
      <w:r w:rsidR="009E3F22" w:rsidRPr="008173C7">
        <w:rPr>
          <w:rFonts w:cs="Times New Roman"/>
          <w:lang w:val="en-US"/>
        </w:rPr>
        <w:t xml:space="preserve">s since </w:t>
      </w:r>
      <w:r w:rsidR="00C648B9" w:rsidRPr="008173C7">
        <w:rPr>
          <w:rFonts w:cs="Times New Roman"/>
          <w:lang w:val="en-US"/>
        </w:rPr>
        <w:t xml:space="preserve">all </w:t>
      </w:r>
      <w:r w:rsidR="009E3F22" w:rsidRPr="008173C7">
        <w:rPr>
          <w:rFonts w:cs="Times New Roman"/>
          <w:lang w:val="en-US"/>
        </w:rPr>
        <w:t xml:space="preserve">were </w:t>
      </w:r>
      <w:r w:rsidR="007F6985" w:rsidRPr="008173C7">
        <w:rPr>
          <w:rFonts w:cs="Times New Roman"/>
          <w:lang w:val="en-US"/>
        </w:rPr>
        <w:t xml:space="preserve">familiar with </w:t>
      </w:r>
      <w:r w:rsidR="00272FD5" w:rsidRPr="008173C7">
        <w:rPr>
          <w:rFonts w:cs="Times New Roman"/>
          <w:lang w:val="en-US"/>
        </w:rPr>
        <w:t>policy-making processes</w:t>
      </w:r>
      <w:r w:rsidR="00C648B9" w:rsidRPr="008173C7">
        <w:rPr>
          <w:rFonts w:cs="Times New Roman"/>
          <w:lang w:val="en-US"/>
        </w:rPr>
        <w:t xml:space="preserve">, </w:t>
      </w:r>
      <w:r w:rsidRPr="008173C7">
        <w:rPr>
          <w:rFonts w:cs="Times New Roman"/>
          <w:lang w:val="en-US"/>
        </w:rPr>
        <w:t xml:space="preserve">were of </w:t>
      </w:r>
      <w:r w:rsidR="009E3F22" w:rsidRPr="008173C7">
        <w:rPr>
          <w:rFonts w:cs="Times New Roman"/>
          <w:lang w:val="en-US"/>
        </w:rPr>
        <w:t xml:space="preserve">similar </w:t>
      </w:r>
      <w:r w:rsidR="005C7AC0" w:rsidRPr="008173C7">
        <w:rPr>
          <w:rFonts w:cs="Times New Roman"/>
          <w:lang w:val="en-US"/>
        </w:rPr>
        <w:t xml:space="preserve">seniority, </w:t>
      </w:r>
      <w:r w:rsidR="00C648B9" w:rsidRPr="008173C7">
        <w:rPr>
          <w:rFonts w:cs="Times New Roman"/>
          <w:lang w:val="en-US"/>
        </w:rPr>
        <w:t>and were not linked with</w:t>
      </w:r>
      <w:r w:rsidR="00A23211" w:rsidRPr="008173C7">
        <w:rPr>
          <w:rFonts w:cs="Times New Roman"/>
          <w:lang w:val="en-US"/>
        </w:rPr>
        <w:t>in a</w:t>
      </w:r>
      <w:r w:rsidR="00C648B9" w:rsidRPr="008173C7">
        <w:rPr>
          <w:rFonts w:cs="Times New Roman"/>
          <w:lang w:val="en-US"/>
        </w:rPr>
        <w:t xml:space="preserve"> hierarchical relation.</w:t>
      </w:r>
      <w:r w:rsidR="00B91967" w:rsidRPr="008173C7">
        <w:rPr>
          <w:rFonts w:cs="Times New Roman"/>
          <w:lang w:val="en-US"/>
        </w:rPr>
        <w:t xml:space="preserve"> </w:t>
      </w:r>
    </w:p>
    <w:p w14:paraId="0C14F23B" w14:textId="4ED731AE" w:rsidR="00B70EAB" w:rsidRPr="008173C7" w:rsidRDefault="000756F5" w:rsidP="000401BB">
      <w:pPr>
        <w:spacing w:line="480" w:lineRule="auto"/>
        <w:rPr>
          <w:rFonts w:cs="Times New Roman"/>
          <w:lang w:val="en-US"/>
        </w:rPr>
      </w:pPr>
      <w:r w:rsidRPr="008173C7">
        <w:rPr>
          <w:rFonts w:cs="Times New Roman"/>
          <w:lang w:val="en-US"/>
        </w:rPr>
        <w:t>E</w:t>
      </w:r>
      <w:r w:rsidR="00B70EAB" w:rsidRPr="008173C7">
        <w:rPr>
          <w:rFonts w:cs="Times New Roman"/>
          <w:lang w:val="en-US"/>
        </w:rPr>
        <w:t xml:space="preserve">xperts </w:t>
      </w:r>
      <w:r w:rsidR="00B13485" w:rsidRPr="008173C7">
        <w:rPr>
          <w:rFonts w:cs="Times New Roman"/>
          <w:lang w:val="en-US"/>
        </w:rPr>
        <w:t xml:space="preserve">were provided with </w:t>
      </w:r>
      <w:r w:rsidR="00564D70" w:rsidRPr="008173C7">
        <w:rPr>
          <w:rFonts w:cs="Times New Roman"/>
          <w:lang w:val="en-US"/>
        </w:rPr>
        <w:t xml:space="preserve">comprehensive and easily exploitable data, namely </w:t>
      </w:r>
      <w:r w:rsidR="00B70EAB" w:rsidRPr="008173C7">
        <w:rPr>
          <w:rFonts w:cs="Times New Roman"/>
          <w:lang w:val="en-US"/>
        </w:rPr>
        <w:t>executive summar</w:t>
      </w:r>
      <w:r w:rsidR="009E3F22" w:rsidRPr="008173C7">
        <w:rPr>
          <w:rFonts w:cs="Times New Roman"/>
          <w:lang w:val="en-US"/>
        </w:rPr>
        <w:t xml:space="preserve">ies and </w:t>
      </w:r>
      <w:r w:rsidR="00102739" w:rsidRPr="008173C7">
        <w:rPr>
          <w:rFonts w:cs="Times New Roman"/>
          <w:lang w:val="en-US"/>
        </w:rPr>
        <w:t>political impact</w:t>
      </w:r>
      <w:r w:rsidR="00B70EAB" w:rsidRPr="008173C7">
        <w:rPr>
          <w:rFonts w:cs="Times New Roman"/>
          <w:lang w:val="en-US"/>
        </w:rPr>
        <w:t xml:space="preserve"> analytical table</w:t>
      </w:r>
      <w:r w:rsidR="009E3F22" w:rsidRPr="008173C7">
        <w:rPr>
          <w:rFonts w:cs="Times New Roman"/>
          <w:lang w:val="en-US"/>
        </w:rPr>
        <w:t>s</w:t>
      </w:r>
      <w:r w:rsidR="00B13485" w:rsidRPr="008173C7">
        <w:rPr>
          <w:rFonts w:cs="Times New Roman"/>
          <w:lang w:val="en-US"/>
        </w:rPr>
        <w:t xml:space="preserve"> </w:t>
      </w:r>
      <w:r w:rsidR="005F2A9D" w:rsidRPr="008173C7">
        <w:rPr>
          <w:rFonts w:cs="Times New Roman"/>
          <w:lang w:val="en-US"/>
        </w:rPr>
        <w:t>(=</w:t>
      </w:r>
      <w:r w:rsidR="009E3F22" w:rsidRPr="008173C7">
        <w:rPr>
          <w:rFonts w:cs="Times New Roman"/>
          <w:lang w:val="en-US"/>
        </w:rPr>
        <w:t>t</w:t>
      </w:r>
      <w:r w:rsidR="005F2A9D" w:rsidRPr="008173C7">
        <w:rPr>
          <w:rFonts w:cs="Times New Roman"/>
          <w:lang w:val="en-US"/>
        </w:rPr>
        <w:t xml:space="preserve">able 1) </w:t>
      </w:r>
      <w:r w:rsidR="00B13485" w:rsidRPr="008173C7">
        <w:rPr>
          <w:rFonts w:cs="Times New Roman"/>
          <w:lang w:val="en-US"/>
        </w:rPr>
        <w:t xml:space="preserve">prefilled with </w:t>
      </w:r>
      <w:r w:rsidR="009E3F22" w:rsidRPr="008173C7">
        <w:rPr>
          <w:rFonts w:cs="Times New Roman"/>
          <w:lang w:val="en-US"/>
        </w:rPr>
        <w:t xml:space="preserve">the </w:t>
      </w:r>
      <w:r w:rsidR="00B13485" w:rsidRPr="008173C7">
        <w:rPr>
          <w:rFonts w:cs="Times New Roman"/>
          <w:lang w:val="en-US"/>
        </w:rPr>
        <w:t>evidence</w:t>
      </w:r>
      <w:r w:rsidR="009E3F22" w:rsidRPr="008173C7">
        <w:rPr>
          <w:rFonts w:cs="Times New Roman"/>
          <w:lang w:val="en-US"/>
        </w:rPr>
        <w:t xml:space="preserve"> collected for the five pilot cases</w:t>
      </w:r>
      <w:r w:rsidR="00B70EAB" w:rsidRPr="008173C7">
        <w:rPr>
          <w:rFonts w:cs="Times New Roman"/>
          <w:lang w:val="en-US"/>
        </w:rPr>
        <w:t xml:space="preserve">. </w:t>
      </w:r>
    </w:p>
    <w:p w14:paraId="16CD4FC7" w14:textId="77777777" w:rsidR="007E530B" w:rsidRPr="008173C7" w:rsidRDefault="000D1740" w:rsidP="000401BB">
      <w:pPr>
        <w:spacing w:line="480" w:lineRule="auto"/>
        <w:rPr>
          <w:rFonts w:cs="Times New Roman"/>
          <w:lang w:val="en-US"/>
        </w:rPr>
      </w:pPr>
      <w:r w:rsidRPr="008173C7">
        <w:rPr>
          <w:rFonts w:cs="Times New Roman"/>
          <w:lang w:val="en-US"/>
        </w:rPr>
        <w:t xml:space="preserve">Each expert </w:t>
      </w:r>
      <w:r w:rsidR="009D074C" w:rsidRPr="008173C7">
        <w:rPr>
          <w:rFonts w:cs="Times New Roman"/>
          <w:lang w:val="en-US"/>
        </w:rPr>
        <w:t>committed to remote individual</w:t>
      </w:r>
      <w:r w:rsidRPr="008173C7">
        <w:rPr>
          <w:rFonts w:cs="Times New Roman"/>
          <w:lang w:val="en-US"/>
        </w:rPr>
        <w:t xml:space="preserve"> </w:t>
      </w:r>
      <w:r w:rsidR="009D074C" w:rsidRPr="008173C7">
        <w:rPr>
          <w:rFonts w:cs="Times New Roman"/>
          <w:lang w:val="en-US"/>
        </w:rPr>
        <w:t xml:space="preserve">preparatory work. </w:t>
      </w:r>
      <w:r w:rsidR="00F321FD" w:rsidRPr="008173C7">
        <w:rPr>
          <w:rFonts w:cs="Times New Roman"/>
          <w:lang w:val="en-US"/>
        </w:rPr>
        <w:t xml:space="preserve">For each case, each </w:t>
      </w:r>
      <w:r w:rsidR="009D074C" w:rsidRPr="008173C7">
        <w:rPr>
          <w:rFonts w:cs="Times New Roman"/>
          <w:lang w:val="en-US"/>
        </w:rPr>
        <w:t xml:space="preserve">expert </w:t>
      </w:r>
      <w:r w:rsidR="00F321FD" w:rsidRPr="008173C7">
        <w:rPr>
          <w:rFonts w:cs="Times New Roman"/>
          <w:lang w:val="en-US"/>
        </w:rPr>
        <w:t xml:space="preserve">was </w:t>
      </w:r>
      <w:r w:rsidRPr="008173C7">
        <w:rPr>
          <w:rFonts w:cs="Times New Roman"/>
          <w:lang w:val="en-US"/>
        </w:rPr>
        <w:t>asked</w:t>
      </w:r>
      <w:r w:rsidR="00F321FD" w:rsidRPr="008173C7">
        <w:rPr>
          <w:rFonts w:cs="Times New Roman"/>
          <w:lang w:val="en-US"/>
        </w:rPr>
        <w:t xml:space="preserve"> </w:t>
      </w:r>
      <w:r w:rsidR="003422EC" w:rsidRPr="008173C7">
        <w:rPr>
          <w:rFonts w:cs="Times New Roman"/>
          <w:lang w:val="en-US"/>
        </w:rPr>
        <w:t>to</w:t>
      </w:r>
      <w:r w:rsidR="009D074C" w:rsidRPr="008173C7">
        <w:rPr>
          <w:rFonts w:cs="Times New Roman"/>
          <w:lang w:val="en-US"/>
        </w:rPr>
        <w:t xml:space="preserve"> </w:t>
      </w:r>
      <w:r w:rsidR="009E3F22" w:rsidRPr="008173C7">
        <w:rPr>
          <w:rFonts w:cs="Times New Roman"/>
          <w:lang w:val="en-US"/>
        </w:rPr>
        <w:t xml:space="preserve">rate </w:t>
      </w:r>
      <w:r w:rsidR="004F0389" w:rsidRPr="008173C7">
        <w:rPr>
          <w:rFonts w:cs="Times New Roman"/>
          <w:lang w:val="en-US"/>
        </w:rPr>
        <w:t>each of the four dimensions</w:t>
      </w:r>
      <w:r w:rsidR="0023495F" w:rsidRPr="008173C7">
        <w:rPr>
          <w:rFonts w:cs="Times New Roman"/>
          <w:lang w:val="en-US"/>
        </w:rPr>
        <w:t xml:space="preserve"> of the analytical framework on a 1 to 5 scale</w:t>
      </w:r>
      <w:r w:rsidR="004F0389" w:rsidRPr="008173C7">
        <w:rPr>
          <w:rFonts w:cs="Times New Roman"/>
          <w:lang w:val="en-US"/>
        </w:rPr>
        <w:t>. The</w:t>
      </w:r>
      <w:r w:rsidR="001C528F" w:rsidRPr="008173C7">
        <w:rPr>
          <w:rFonts w:cs="Times New Roman"/>
          <w:lang w:val="en-US"/>
        </w:rPr>
        <w:t>y</w:t>
      </w:r>
      <w:r w:rsidR="004F0389" w:rsidRPr="008173C7">
        <w:rPr>
          <w:rFonts w:cs="Times New Roman"/>
          <w:lang w:val="en-US"/>
        </w:rPr>
        <w:t xml:space="preserve"> </w:t>
      </w:r>
      <w:r w:rsidR="00EA27DE" w:rsidRPr="008173C7">
        <w:rPr>
          <w:rFonts w:cs="Times New Roman"/>
          <w:lang w:val="en-US"/>
        </w:rPr>
        <w:t xml:space="preserve">were </w:t>
      </w:r>
      <w:r w:rsidR="009E3F22" w:rsidRPr="008173C7">
        <w:rPr>
          <w:rFonts w:cs="Times New Roman"/>
          <w:lang w:val="en-US"/>
        </w:rPr>
        <w:t xml:space="preserve">asked to provide an argument for each of their </w:t>
      </w:r>
      <w:r w:rsidR="00CB3840" w:rsidRPr="008173C7">
        <w:rPr>
          <w:rFonts w:cs="Times New Roman"/>
          <w:lang w:val="en-US"/>
        </w:rPr>
        <w:t>judgment</w:t>
      </w:r>
      <w:r w:rsidR="009E3F22" w:rsidRPr="008173C7">
        <w:rPr>
          <w:rFonts w:cs="Times New Roman"/>
          <w:lang w:val="en-US"/>
        </w:rPr>
        <w:t>s</w:t>
      </w:r>
      <w:r w:rsidRPr="008173C7">
        <w:rPr>
          <w:rFonts w:cs="Times New Roman"/>
          <w:lang w:val="en-US"/>
        </w:rPr>
        <w:t>.</w:t>
      </w:r>
      <w:r w:rsidR="00A81C44" w:rsidRPr="008173C7">
        <w:rPr>
          <w:rFonts w:cs="Times New Roman"/>
          <w:lang w:val="en-US"/>
        </w:rPr>
        <w:t xml:space="preserve"> </w:t>
      </w:r>
      <w:r w:rsidR="00913C0E" w:rsidRPr="008173C7">
        <w:rPr>
          <w:rFonts w:cs="Times New Roman"/>
          <w:lang w:val="en-US"/>
        </w:rPr>
        <w:t xml:space="preserve">We </w:t>
      </w:r>
      <w:r w:rsidR="009E3F22" w:rsidRPr="008173C7">
        <w:rPr>
          <w:rFonts w:cs="Times New Roman"/>
          <w:lang w:val="en-US"/>
        </w:rPr>
        <w:t xml:space="preserve">predicted </w:t>
      </w:r>
      <w:r w:rsidR="00913C0E" w:rsidRPr="008173C7">
        <w:rPr>
          <w:rFonts w:cs="Times New Roman"/>
          <w:lang w:val="en-US"/>
        </w:rPr>
        <w:t xml:space="preserve">that </w:t>
      </w:r>
      <w:r w:rsidR="002568D9" w:rsidRPr="008173C7">
        <w:rPr>
          <w:rFonts w:cs="Times New Roman"/>
          <w:lang w:val="en-US"/>
        </w:rPr>
        <w:t>discussing the rating of real cases</w:t>
      </w:r>
      <w:r w:rsidR="009E3F22" w:rsidRPr="008173C7">
        <w:rPr>
          <w:rFonts w:cs="Times New Roman"/>
          <w:lang w:val="en-US"/>
        </w:rPr>
        <w:t xml:space="preserve"> would </w:t>
      </w:r>
      <w:r w:rsidR="00913C0E" w:rsidRPr="008173C7">
        <w:rPr>
          <w:rFonts w:cs="Times New Roman"/>
          <w:lang w:val="en-US"/>
        </w:rPr>
        <w:t xml:space="preserve">provide more information than </w:t>
      </w:r>
      <w:r w:rsidR="00C039DE" w:rsidRPr="008173C7">
        <w:rPr>
          <w:rFonts w:cs="Times New Roman"/>
          <w:lang w:val="en-US"/>
        </w:rPr>
        <w:t xml:space="preserve">if </w:t>
      </w:r>
      <w:r w:rsidR="00F321FD" w:rsidRPr="008173C7">
        <w:rPr>
          <w:rFonts w:cs="Times New Roman"/>
          <w:lang w:val="en-US"/>
        </w:rPr>
        <w:t xml:space="preserve">the </w:t>
      </w:r>
      <w:r w:rsidR="002568D9" w:rsidRPr="008173C7">
        <w:rPr>
          <w:rFonts w:cs="Times New Roman"/>
          <w:lang w:val="en-US"/>
        </w:rPr>
        <w:t xml:space="preserve">experts </w:t>
      </w:r>
      <w:r w:rsidR="00C039DE" w:rsidRPr="008173C7">
        <w:rPr>
          <w:rFonts w:cs="Times New Roman"/>
          <w:lang w:val="en-US"/>
        </w:rPr>
        <w:t xml:space="preserve">were to </w:t>
      </w:r>
      <w:r w:rsidR="00913C0E" w:rsidRPr="008173C7">
        <w:rPr>
          <w:rFonts w:cs="Times New Roman"/>
          <w:lang w:val="en-US"/>
        </w:rPr>
        <w:t>discuss</w:t>
      </w:r>
      <w:r w:rsidR="00EF4926" w:rsidRPr="008173C7">
        <w:rPr>
          <w:rFonts w:cs="Times New Roman"/>
          <w:lang w:val="en-US"/>
        </w:rPr>
        <w:t xml:space="preserve"> desirable</w:t>
      </w:r>
      <w:r w:rsidR="00913C0E" w:rsidRPr="008173C7">
        <w:rPr>
          <w:rFonts w:cs="Times New Roman"/>
          <w:lang w:val="en-US"/>
        </w:rPr>
        <w:t xml:space="preserve"> evaluation criteria.</w:t>
      </w:r>
      <w:r w:rsidR="004D199B" w:rsidRPr="008173C7">
        <w:rPr>
          <w:rFonts w:cs="Times New Roman"/>
          <w:lang w:val="en-US"/>
        </w:rPr>
        <w:t xml:space="preserve"> </w:t>
      </w:r>
    </w:p>
    <w:p w14:paraId="23F73333" w14:textId="23CB1E9C" w:rsidR="00091439" w:rsidRPr="008173C7" w:rsidRDefault="007E530B" w:rsidP="000401BB">
      <w:pPr>
        <w:spacing w:line="480" w:lineRule="auto"/>
        <w:rPr>
          <w:rFonts w:cs="Times New Roman"/>
          <w:bCs/>
          <w:lang w:val="en-US"/>
        </w:rPr>
      </w:pPr>
      <w:r w:rsidRPr="008173C7">
        <w:rPr>
          <w:rFonts w:cs="Times New Roman"/>
          <w:lang w:val="en-US"/>
        </w:rPr>
        <w:t xml:space="preserve">At first sight, some </w:t>
      </w:r>
      <w:r w:rsidR="00CC50C8" w:rsidRPr="008173C7">
        <w:rPr>
          <w:rFonts w:cs="Times New Roman"/>
          <w:lang w:val="en-US"/>
        </w:rPr>
        <w:t xml:space="preserve">of the experts </w:t>
      </w:r>
      <w:r w:rsidR="00091439" w:rsidRPr="008173C7">
        <w:rPr>
          <w:rFonts w:cs="Times New Roman"/>
          <w:bCs/>
          <w:lang w:val="en-US"/>
        </w:rPr>
        <w:t xml:space="preserve">were </w:t>
      </w:r>
      <w:r w:rsidR="005F2A9D" w:rsidRPr="008173C7">
        <w:rPr>
          <w:rFonts w:cs="Times New Roman"/>
          <w:bCs/>
          <w:lang w:val="en-US"/>
        </w:rPr>
        <w:t xml:space="preserve">reluctant to </w:t>
      </w:r>
      <w:r w:rsidR="00C039DE" w:rsidRPr="008173C7">
        <w:rPr>
          <w:rFonts w:cs="Times New Roman"/>
          <w:bCs/>
          <w:lang w:val="en-US"/>
        </w:rPr>
        <w:t xml:space="preserve">act </w:t>
      </w:r>
      <w:r w:rsidR="005F2A9D" w:rsidRPr="008173C7">
        <w:rPr>
          <w:rFonts w:cs="Times New Roman"/>
          <w:bCs/>
          <w:lang w:val="en-US"/>
        </w:rPr>
        <w:t>as authorities</w:t>
      </w:r>
      <w:r w:rsidR="00091439" w:rsidRPr="008173C7">
        <w:rPr>
          <w:rFonts w:cs="Times New Roman"/>
          <w:bCs/>
          <w:lang w:val="en-US"/>
        </w:rPr>
        <w:t xml:space="preserve"> </w:t>
      </w:r>
      <w:r w:rsidR="00C039DE" w:rsidRPr="008173C7">
        <w:rPr>
          <w:rFonts w:cs="Times New Roman"/>
          <w:bCs/>
          <w:lang w:val="en-US"/>
        </w:rPr>
        <w:t xml:space="preserve">in rating </w:t>
      </w:r>
      <w:r w:rsidR="00091439" w:rsidRPr="008173C7">
        <w:rPr>
          <w:rFonts w:cs="Times New Roman"/>
          <w:bCs/>
          <w:lang w:val="en-US"/>
        </w:rPr>
        <w:t>the political impact of cases</w:t>
      </w:r>
      <w:r w:rsidR="00ED6F40" w:rsidRPr="008173C7">
        <w:rPr>
          <w:rFonts w:cs="Times New Roman"/>
          <w:bCs/>
          <w:lang w:val="en-US"/>
        </w:rPr>
        <w:t xml:space="preserve"> they had not assessed</w:t>
      </w:r>
      <w:r w:rsidR="00091439" w:rsidRPr="008173C7">
        <w:rPr>
          <w:rFonts w:cs="Times New Roman"/>
          <w:bCs/>
          <w:lang w:val="en-US"/>
        </w:rPr>
        <w:t xml:space="preserve">. </w:t>
      </w:r>
      <w:r w:rsidR="00C039DE" w:rsidRPr="008173C7">
        <w:rPr>
          <w:rFonts w:cs="Times New Roman"/>
          <w:bCs/>
          <w:lang w:val="en-US"/>
        </w:rPr>
        <w:t xml:space="preserve">However, since </w:t>
      </w:r>
      <w:r w:rsidR="00ED6F40" w:rsidRPr="008173C7">
        <w:rPr>
          <w:rFonts w:cs="Times New Roman"/>
          <w:bCs/>
          <w:lang w:val="en-US"/>
        </w:rPr>
        <w:t>case studies were only a supporting material, and since the objective of the rating task was to obtain a rationale for judging impact and,</w:t>
      </w:r>
      <w:r w:rsidR="004C3A86" w:rsidRPr="008173C7">
        <w:rPr>
          <w:rFonts w:cs="Times New Roman"/>
          <w:bCs/>
          <w:lang w:val="en-US"/>
        </w:rPr>
        <w:t xml:space="preserve"> </w:t>
      </w:r>
      <w:r w:rsidR="00C039DE" w:rsidRPr="008173C7">
        <w:rPr>
          <w:rFonts w:cs="Times New Roman"/>
          <w:bCs/>
          <w:lang w:val="en-US"/>
        </w:rPr>
        <w:t xml:space="preserve">ultimately </w:t>
      </w:r>
      <w:r w:rsidR="00091439" w:rsidRPr="008173C7">
        <w:rPr>
          <w:rFonts w:cs="Times New Roman"/>
          <w:bCs/>
          <w:lang w:val="en-US"/>
        </w:rPr>
        <w:t xml:space="preserve">design a rating </w:t>
      </w:r>
      <w:r w:rsidR="00665F50" w:rsidRPr="008173C7">
        <w:rPr>
          <w:rFonts w:cs="Times New Roman"/>
          <w:bCs/>
          <w:lang w:val="en-US"/>
        </w:rPr>
        <w:t>scale</w:t>
      </w:r>
      <w:r w:rsidR="00091439" w:rsidRPr="008173C7">
        <w:rPr>
          <w:rFonts w:cs="Times New Roman"/>
          <w:bCs/>
          <w:lang w:val="en-US"/>
        </w:rPr>
        <w:t xml:space="preserve">, they </w:t>
      </w:r>
      <w:r w:rsidR="00C039DE" w:rsidRPr="008173C7">
        <w:rPr>
          <w:rFonts w:cs="Times New Roman"/>
          <w:bCs/>
          <w:lang w:val="en-US"/>
        </w:rPr>
        <w:t xml:space="preserve">agreed to </w:t>
      </w:r>
      <w:r w:rsidR="00F321FD" w:rsidRPr="008173C7">
        <w:rPr>
          <w:rFonts w:cs="Times New Roman"/>
          <w:bCs/>
          <w:lang w:val="en-US"/>
        </w:rPr>
        <w:t xml:space="preserve">undertake </w:t>
      </w:r>
      <w:r w:rsidR="00C039DE" w:rsidRPr="008173C7">
        <w:rPr>
          <w:rFonts w:cs="Times New Roman"/>
          <w:bCs/>
          <w:lang w:val="en-US"/>
        </w:rPr>
        <w:t xml:space="preserve">the </w:t>
      </w:r>
      <w:r w:rsidR="009C2D54" w:rsidRPr="008173C7">
        <w:rPr>
          <w:rFonts w:cs="Times New Roman"/>
          <w:bCs/>
          <w:lang w:val="en-US"/>
        </w:rPr>
        <w:t>work</w:t>
      </w:r>
      <w:r w:rsidR="00091439" w:rsidRPr="008173C7">
        <w:rPr>
          <w:rFonts w:cs="Times New Roman"/>
          <w:bCs/>
          <w:lang w:val="en-US"/>
        </w:rPr>
        <w:t>.</w:t>
      </w:r>
      <w:r w:rsidR="004D4E8F" w:rsidRPr="008173C7">
        <w:rPr>
          <w:rFonts w:cs="Times New Roman"/>
          <w:lang w:val="en-US"/>
        </w:rPr>
        <w:t xml:space="preserve"> </w:t>
      </w:r>
    </w:p>
    <w:p w14:paraId="56CFAC0C" w14:textId="5DD6E14C" w:rsidR="00BD4054" w:rsidRPr="008173C7" w:rsidRDefault="008170D9" w:rsidP="000401BB">
      <w:pPr>
        <w:spacing w:line="480" w:lineRule="auto"/>
        <w:rPr>
          <w:rFonts w:cs="Times New Roman"/>
          <w:lang w:val="en-US"/>
        </w:rPr>
      </w:pPr>
      <w:r w:rsidRPr="008173C7">
        <w:rPr>
          <w:rFonts w:cs="Times New Roman"/>
          <w:lang w:val="en-US"/>
        </w:rPr>
        <w:t xml:space="preserve">The objective of the meeting was not to </w:t>
      </w:r>
      <w:r w:rsidR="006629D7" w:rsidRPr="008173C7">
        <w:rPr>
          <w:rFonts w:cs="Times New Roman"/>
          <w:lang w:val="en-US"/>
        </w:rPr>
        <w:t xml:space="preserve">achieve </w:t>
      </w:r>
      <w:r w:rsidRPr="008173C7">
        <w:rPr>
          <w:rFonts w:cs="Times New Roman"/>
          <w:lang w:val="en-US"/>
        </w:rPr>
        <w:t xml:space="preserve">consensus </w:t>
      </w:r>
      <w:r w:rsidR="00C039DE" w:rsidRPr="008173C7">
        <w:rPr>
          <w:rFonts w:cs="Times New Roman"/>
          <w:lang w:val="en-US"/>
        </w:rPr>
        <w:t xml:space="preserve">on a </w:t>
      </w:r>
      <w:r w:rsidRPr="008173C7">
        <w:rPr>
          <w:rFonts w:cs="Times New Roman"/>
          <w:lang w:val="en-US"/>
        </w:rPr>
        <w:t xml:space="preserve">single mark for each case but to </w:t>
      </w:r>
      <w:r w:rsidR="00C039DE" w:rsidRPr="008173C7">
        <w:rPr>
          <w:rFonts w:cs="Times New Roman"/>
          <w:lang w:val="en-US"/>
        </w:rPr>
        <w:t xml:space="preserve">elicit each expert's </w:t>
      </w:r>
      <w:r w:rsidRPr="008173C7">
        <w:rPr>
          <w:rFonts w:cs="Times New Roman"/>
          <w:lang w:val="en-US"/>
        </w:rPr>
        <w:t xml:space="preserve">rationale </w:t>
      </w:r>
      <w:r w:rsidR="00C039DE" w:rsidRPr="008173C7">
        <w:rPr>
          <w:rFonts w:cs="Times New Roman"/>
          <w:lang w:val="en-US"/>
        </w:rPr>
        <w:t xml:space="preserve">for the rating </w:t>
      </w:r>
      <w:r w:rsidR="00036F46" w:rsidRPr="008173C7">
        <w:rPr>
          <w:rFonts w:cs="Times New Roman"/>
          <w:lang w:val="en-US"/>
        </w:rPr>
        <w:t xml:space="preserve">he </w:t>
      </w:r>
      <w:r w:rsidR="00C039DE" w:rsidRPr="008173C7">
        <w:rPr>
          <w:rFonts w:cs="Times New Roman"/>
          <w:lang w:val="en-US"/>
        </w:rPr>
        <w:t>awarded</w:t>
      </w:r>
      <w:r w:rsidRPr="008173C7">
        <w:rPr>
          <w:rFonts w:cs="Times New Roman"/>
          <w:lang w:val="en-US"/>
        </w:rPr>
        <w:t xml:space="preserve">. </w:t>
      </w:r>
      <w:r w:rsidR="004F0389" w:rsidRPr="008173C7">
        <w:rPr>
          <w:rFonts w:cs="Times New Roman"/>
          <w:lang w:val="en-US"/>
        </w:rPr>
        <w:t>The experts were invited to a one-</w:t>
      </w:r>
      <w:r w:rsidR="00037BFC" w:rsidRPr="008173C7">
        <w:rPr>
          <w:rFonts w:cs="Times New Roman"/>
          <w:lang w:val="en-US"/>
        </w:rPr>
        <w:t>day meeting</w:t>
      </w:r>
      <w:r w:rsidR="00037BFC" w:rsidRPr="008173C7">
        <w:rPr>
          <w:rFonts w:cs="Times New Roman"/>
          <w:bCs/>
          <w:lang w:val="en-US"/>
        </w:rPr>
        <w:t>.</w:t>
      </w:r>
      <w:r w:rsidR="004F0389" w:rsidRPr="008173C7">
        <w:rPr>
          <w:rFonts w:cs="Times New Roman"/>
          <w:bCs/>
          <w:lang w:val="en-US"/>
        </w:rPr>
        <w:t xml:space="preserve"> </w:t>
      </w:r>
      <w:r w:rsidR="00CC50C8" w:rsidRPr="008173C7">
        <w:rPr>
          <w:rFonts w:cs="Times New Roman"/>
          <w:lang w:val="en-US"/>
        </w:rPr>
        <w:t xml:space="preserve">They </w:t>
      </w:r>
      <w:r w:rsidR="00C039DE" w:rsidRPr="008173C7">
        <w:rPr>
          <w:rFonts w:cs="Times New Roman"/>
          <w:lang w:val="en-US"/>
        </w:rPr>
        <w:t>were invited to comment on the marks assigned to each case study, d</w:t>
      </w:r>
      <w:r w:rsidR="000C29AA" w:rsidRPr="008173C7">
        <w:rPr>
          <w:rFonts w:cs="Times New Roman"/>
          <w:lang w:val="en-US"/>
        </w:rPr>
        <w:t>imension by dimension</w:t>
      </w:r>
      <w:r w:rsidR="00020A1A" w:rsidRPr="008173C7">
        <w:rPr>
          <w:rFonts w:cs="Times New Roman"/>
          <w:lang w:val="en-US"/>
        </w:rPr>
        <w:t>, and compare the merit</w:t>
      </w:r>
      <w:r w:rsidR="00C039DE" w:rsidRPr="008173C7">
        <w:rPr>
          <w:rFonts w:cs="Times New Roman"/>
          <w:lang w:val="en-US"/>
        </w:rPr>
        <w:t>s</w:t>
      </w:r>
      <w:r w:rsidR="00020A1A" w:rsidRPr="008173C7">
        <w:rPr>
          <w:rFonts w:cs="Times New Roman"/>
          <w:lang w:val="en-US"/>
        </w:rPr>
        <w:t xml:space="preserve"> of case</w:t>
      </w:r>
      <w:r w:rsidR="003A6FFE" w:rsidRPr="008173C7">
        <w:rPr>
          <w:rFonts w:cs="Times New Roman"/>
          <w:lang w:val="en-US"/>
        </w:rPr>
        <w:t>.</w:t>
      </w:r>
      <w:r w:rsidR="00F76C0A" w:rsidRPr="008173C7">
        <w:rPr>
          <w:rFonts w:cs="Times New Roman"/>
          <w:lang w:val="en-US"/>
        </w:rPr>
        <w:t xml:space="preserve"> </w:t>
      </w:r>
      <w:r w:rsidR="00693349" w:rsidRPr="008173C7">
        <w:rPr>
          <w:rFonts w:cs="Times New Roman"/>
          <w:lang w:val="en-US"/>
        </w:rPr>
        <w:t>The size and composition of the panel proved</w:t>
      </w:r>
      <w:r w:rsidR="00C039DE" w:rsidRPr="008173C7">
        <w:rPr>
          <w:rFonts w:cs="Times New Roman"/>
          <w:lang w:val="en-US"/>
        </w:rPr>
        <w:t xml:space="preserve"> successful for promoting </w:t>
      </w:r>
      <w:r w:rsidR="008B59E3" w:rsidRPr="008173C7">
        <w:rPr>
          <w:rFonts w:cs="Times New Roman"/>
          <w:lang w:val="en-US"/>
        </w:rPr>
        <w:t>expression of</w:t>
      </w:r>
      <w:r w:rsidR="00693349" w:rsidRPr="008173C7">
        <w:rPr>
          <w:rFonts w:cs="Times New Roman"/>
          <w:lang w:val="en-US"/>
        </w:rPr>
        <w:t xml:space="preserve"> a variety of opinions in a </w:t>
      </w:r>
      <w:r w:rsidR="00CC50C8" w:rsidRPr="008173C7">
        <w:rPr>
          <w:rFonts w:cs="Times New Roman"/>
          <w:lang w:val="en-US"/>
        </w:rPr>
        <w:t xml:space="preserve">direct </w:t>
      </w:r>
      <w:r w:rsidR="00693349" w:rsidRPr="008173C7">
        <w:rPr>
          <w:rFonts w:cs="Times New Roman"/>
          <w:lang w:val="en-US"/>
        </w:rPr>
        <w:t>and dynamic</w:t>
      </w:r>
      <w:r w:rsidR="00C039DE" w:rsidRPr="008173C7">
        <w:rPr>
          <w:rFonts w:cs="Times New Roman"/>
          <w:lang w:val="en-US"/>
        </w:rPr>
        <w:t xml:space="preserve"> exchange</w:t>
      </w:r>
      <w:r w:rsidR="00693349" w:rsidRPr="008173C7">
        <w:rPr>
          <w:rFonts w:cs="Times New Roman"/>
          <w:lang w:val="en-US"/>
        </w:rPr>
        <w:t xml:space="preserve">. </w:t>
      </w:r>
      <w:r w:rsidR="00DE45F0" w:rsidRPr="008173C7">
        <w:rPr>
          <w:rFonts w:cs="Times New Roman"/>
          <w:lang w:val="en-US"/>
        </w:rPr>
        <w:t xml:space="preserve">The experts validated the subdivision of political impact </w:t>
      </w:r>
      <w:r w:rsidR="006629D7" w:rsidRPr="008173C7">
        <w:rPr>
          <w:rFonts w:cs="Times New Roman"/>
          <w:lang w:val="en-US"/>
        </w:rPr>
        <w:t xml:space="preserve">along </w:t>
      </w:r>
      <w:r w:rsidR="00DE45F0" w:rsidRPr="008173C7">
        <w:rPr>
          <w:rFonts w:cs="Times New Roman"/>
          <w:lang w:val="en-US"/>
        </w:rPr>
        <w:t xml:space="preserve">the four dimensions in </w:t>
      </w:r>
      <w:r w:rsidR="00036F46" w:rsidRPr="008173C7">
        <w:rPr>
          <w:rFonts w:cs="Times New Roman"/>
          <w:lang w:val="en-US"/>
        </w:rPr>
        <w:t xml:space="preserve">our </w:t>
      </w:r>
      <w:r w:rsidR="00DE45F0" w:rsidRPr="008173C7">
        <w:rPr>
          <w:rFonts w:cs="Times New Roman"/>
          <w:lang w:val="en-US"/>
        </w:rPr>
        <w:t>initial analytical framework</w:t>
      </w:r>
      <w:r w:rsidR="00354AA6" w:rsidRPr="008173C7">
        <w:rPr>
          <w:rFonts w:cs="Times New Roman"/>
          <w:lang w:val="en-US"/>
        </w:rPr>
        <w:t xml:space="preserve"> (table 1)</w:t>
      </w:r>
      <w:r w:rsidR="009B5DE4" w:rsidRPr="008173C7">
        <w:rPr>
          <w:rFonts w:cs="Times New Roman"/>
          <w:lang w:val="en-US"/>
        </w:rPr>
        <w:t>.</w:t>
      </w:r>
      <w:r w:rsidR="00C368CD" w:rsidRPr="008173C7">
        <w:rPr>
          <w:rFonts w:cs="Times New Roman"/>
          <w:lang w:val="en-US"/>
        </w:rPr>
        <w:t xml:space="preserve"> </w:t>
      </w:r>
      <w:r w:rsidR="009B5DE4" w:rsidRPr="008173C7">
        <w:rPr>
          <w:rFonts w:cs="Times New Roman"/>
          <w:lang w:val="en-US"/>
        </w:rPr>
        <w:t xml:space="preserve">The arguments </w:t>
      </w:r>
      <w:r w:rsidR="006629D7" w:rsidRPr="008173C7">
        <w:rPr>
          <w:rFonts w:cs="Times New Roman"/>
          <w:lang w:val="en-US"/>
        </w:rPr>
        <w:t xml:space="preserve">put forward </w:t>
      </w:r>
      <w:r w:rsidR="00C039DE" w:rsidRPr="008173C7">
        <w:rPr>
          <w:rFonts w:cs="Times New Roman"/>
          <w:lang w:val="en-US"/>
        </w:rPr>
        <w:t xml:space="preserve">by the </w:t>
      </w:r>
      <w:r w:rsidR="009B5DE4" w:rsidRPr="008173C7">
        <w:rPr>
          <w:rFonts w:cs="Times New Roman"/>
          <w:lang w:val="en-US"/>
        </w:rPr>
        <w:t xml:space="preserve">experts to justify </w:t>
      </w:r>
      <w:r w:rsidR="00C039DE" w:rsidRPr="008173C7">
        <w:rPr>
          <w:rFonts w:cs="Times New Roman"/>
          <w:lang w:val="en-US"/>
        </w:rPr>
        <w:t xml:space="preserve">how they rated </w:t>
      </w:r>
      <w:r w:rsidR="009B5DE4" w:rsidRPr="008173C7">
        <w:rPr>
          <w:rFonts w:cs="Times New Roman"/>
          <w:lang w:val="en-US"/>
        </w:rPr>
        <w:t xml:space="preserve">each case helped us to refine, complete and organize the list of </w:t>
      </w:r>
      <w:r w:rsidR="00885245" w:rsidRPr="008173C7">
        <w:rPr>
          <w:rFonts w:cs="Times New Roman"/>
          <w:lang w:val="en-US"/>
        </w:rPr>
        <w:t>sub-dimensions</w:t>
      </w:r>
      <w:r w:rsidR="009B5DE4" w:rsidRPr="008173C7">
        <w:rPr>
          <w:rFonts w:cs="Times New Roman"/>
          <w:lang w:val="en-US"/>
        </w:rPr>
        <w:t xml:space="preserve"> to be assessed for each dimension.</w:t>
      </w:r>
      <w:r w:rsidR="00DE45F0" w:rsidRPr="008173C7">
        <w:rPr>
          <w:rFonts w:cs="Times New Roman"/>
          <w:lang w:val="en-US"/>
        </w:rPr>
        <w:t xml:space="preserve"> </w:t>
      </w:r>
      <w:r w:rsidR="00553191" w:rsidRPr="008173C7">
        <w:rPr>
          <w:rFonts w:cs="Times New Roman"/>
          <w:lang w:val="en-US"/>
        </w:rPr>
        <w:t xml:space="preserve">During the panel meeting, </w:t>
      </w:r>
      <w:r w:rsidR="0021069E" w:rsidRPr="008173C7">
        <w:rPr>
          <w:rFonts w:cs="Times New Roman"/>
          <w:lang w:val="en-US"/>
        </w:rPr>
        <w:t>experts shared the</w:t>
      </w:r>
      <w:r w:rsidR="00C039DE" w:rsidRPr="008173C7">
        <w:rPr>
          <w:rFonts w:cs="Times New Roman"/>
          <w:lang w:val="en-US"/>
        </w:rPr>
        <w:t>ir</w:t>
      </w:r>
      <w:r w:rsidR="004F2FE6" w:rsidRPr="008173C7">
        <w:rPr>
          <w:rFonts w:cs="Times New Roman"/>
          <w:lang w:val="en-US"/>
        </w:rPr>
        <w:t xml:space="preserve"> </w:t>
      </w:r>
      <w:r w:rsidR="0021069E" w:rsidRPr="008173C7">
        <w:rPr>
          <w:rFonts w:cs="Times New Roman"/>
          <w:lang w:val="en-US"/>
        </w:rPr>
        <w:t>rationale</w:t>
      </w:r>
      <w:r w:rsidR="00C039DE" w:rsidRPr="008173C7">
        <w:rPr>
          <w:rFonts w:cs="Times New Roman"/>
          <w:lang w:val="en-US"/>
        </w:rPr>
        <w:t xml:space="preserve">s for </w:t>
      </w:r>
      <w:r w:rsidR="0021069E" w:rsidRPr="008173C7">
        <w:rPr>
          <w:rFonts w:cs="Times New Roman"/>
          <w:lang w:val="en-US"/>
        </w:rPr>
        <w:t xml:space="preserve">their </w:t>
      </w:r>
      <w:r w:rsidR="00C039DE" w:rsidRPr="008173C7">
        <w:rPr>
          <w:rFonts w:cs="Times New Roman"/>
          <w:lang w:val="en-US"/>
        </w:rPr>
        <w:t xml:space="preserve">individual </w:t>
      </w:r>
      <w:r w:rsidR="0021069E" w:rsidRPr="008173C7">
        <w:rPr>
          <w:rFonts w:cs="Times New Roman"/>
          <w:lang w:val="en-US"/>
        </w:rPr>
        <w:t>ra</w:t>
      </w:r>
      <w:r w:rsidR="00354AA6" w:rsidRPr="008173C7">
        <w:rPr>
          <w:rFonts w:cs="Times New Roman"/>
          <w:lang w:val="en-US"/>
        </w:rPr>
        <w:t>t</w:t>
      </w:r>
      <w:r w:rsidR="0021069E" w:rsidRPr="008173C7">
        <w:rPr>
          <w:rFonts w:cs="Times New Roman"/>
          <w:lang w:val="en-US"/>
        </w:rPr>
        <w:t>ing</w:t>
      </w:r>
      <w:r w:rsidR="00C039DE" w:rsidRPr="008173C7">
        <w:rPr>
          <w:rFonts w:cs="Times New Roman"/>
          <w:lang w:val="en-US"/>
        </w:rPr>
        <w:t>s</w:t>
      </w:r>
      <w:r w:rsidR="008E4354" w:rsidRPr="008173C7">
        <w:rPr>
          <w:rFonts w:cs="Times New Roman"/>
          <w:lang w:val="en-US"/>
        </w:rPr>
        <w:t xml:space="preserve"> </w:t>
      </w:r>
      <w:r w:rsidR="00C039DE" w:rsidRPr="008173C7">
        <w:rPr>
          <w:rFonts w:cs="Times New Roman"/>
          <w:lang w:val="en-US"/>
        </w:rPr>
        <w:t xml:space="preserve">for </w:t>
      </w:r>
      <w:r w:rsidR="008E4354" w:rsidRPr="008173C7">
        <w:rPr>
          <w:rFonts w:cs="Times New Roman"/>
          <w:lang w:val="en-US"/>
        </w:rPr>
        <w:t xml:space="preserve">each </w:t>
      </w:r>
      <w:r w:rsidR="001D7E38" w:rsidRPr="008173C7">
        <w:rPr>
          <w:rFonts w:cs="Times New Roman"/>
          <w:lang w:val="en-US"/>
        </w:rPr>
        <w:t>dimension</w:t>
      </w:r>
      <w:r w:rsidR="009B5DE4" w:rsidRPr="008173C7">
        <w:rPr>
          <w:rFonts w:cs="Times New Roman"/>
          <w:lang w:val="en-US"/>
        </w:rPr>
        <w:t xml:space="preserve"> of political impact</w:t>
      </w:r>
      <w:r w:rsidR="00C039DE" w:rsidRPr="008173C7">
        <w:rPr>
          <w:rFonts w:cs="Times New Roman"/>
          <w:lang w:val="en-US"/>
        </w:rPr>
        <w:t>,</w:t>
      </w:r>
      <w:r w:rsidR="001065DB" w:rsidRPr="008173C7">
        <w:rPr>
          <w:rFonts w:cs="Times New Roman"/>
          <w:lang w:val="en-US"/>
        </w:rPr>
        <w:t xml:space="preserve"> based on the available evidenc</w:t>
      </w:r>
      <w:r w:rsidR="0054018B" w:rsidRPr="008173C7">
        <w:rPr>
          <w:rFonts w:cs="Times New Roman"/>
          <w:lang w:val="en-US"/>
        </w:rPr>
        <w:t xml:space="preserve">e of impact provided </w:t>
      </w:r>
      <w:r w:rsidR="00C039DE" w:rsidRPr="008173C7">
        <w:rPr>
          <w:rFonts w:cs="Times New Roman"/>
          <w:lang w:val="en-US"/>
        </w:rPr>
        <w:t xml:space="preserve">by </w:t>
      </w:r>
      <w:r w:rsidR="0054018B" w:rsidRPr="008173C7">
        <w:rPr>
          <w:rFonts w:cs="Times New Roman"/>
          <w:lang w:val="en-US"/>
        </w:rPr>
        <w:t>the cases</w:t>
      </w:r>
      <w:r w:rsidR="005814C2" w:rsidRPr="008173C7">
        <w:rPr>
          <w:rFonts w:cs="Times New Roman"/>
          <w:lang w:val="en-US"/>
        </w:rPr>
        <w:t xml:space="preserve">. </w:t>
      </w:r>
      <w:r w:rsidR="00F76C0A" w:rsidRPr="008173C7">
        <w:rPr>
          <w:rFonts w:cs="Times New Roman"/>
          <w:lang w:val="en-US"/>
        </w:rPr>
        <w:t>This was an iterative process</w:t>
      </w:r>
      <w:r w:rsidR="006629D7" w:rsidRPr="008173C7">
        <w:rPr>
          <w:rFonts w:cs="Times New Roman"/>
          <w:lang w:val="en-US"/>
        </w:rPr>
        <w:t xml:space="preserve"> in which </w:t>
      </w:r>
      <w:r w:rsidR="00F76C0A" w:rsidRPr="008173C7">
        <w:rPr>
          <w:rFonts w:cs="Times New Roman"/>
          <w:lang w:val="en-US"/>
        </w:rPr>
        <w:t xml:space="preserve">the experts alternatively </w:t>
      </w:r>
      <w:r w:rsidR="006629D7" w:rsidRPr="008173C7">
        <w:rPr>
          <w:rFonts w:cs="Times New Roman"/>
          <w:lang w:val="en-US"/>
        </w:rPr>
        <w:t xml:space="preserve">consulted and referred to </w:t>
      </w:r>
      <w:r w:rsidR="00F76C0A" w:rsidRPr="008173C7">
        <w:rPr>
          <w:rFonts w:cs="Times New Roman"/>
          <w:lang w:val="en-US"/>
        </w:rPr>
        <w:t xml:space="preserve">the case and the grid. </w:t>
      </w:r>
      <w:r w:rsidR="00C5544A" w:rsidRPr="008173C7">
        <w:rPr>
          <w:rFonts w:cs="Times New Roman"/>
          <w:lang w:val="en-US"/>
        </w:rPr>
        <w:t xml:space="preserve">The </w:t>
      </w:r>
      <w:r w:rsidR="00973DF4" w:rsidRPr="008173C7">
        <w:rPr>
          <w:rFonts w:cs="Times New Roman"/>
          <w:lang w:val="en-US"/>
        </w:rPr>
        <w:t xml:space="preserve">individual </w:t>
      </w:r>
      <w:r w:rsidR="00C5544A" w:rsidRPr="008173C7">
        <w:rPr>
          <w:rFonts w:cs="Times New Roman"/>
          <w:lang w:val="en-US"/>
        </w:rPr>
        <w:t xml:space="preserve">arguments were debated and challenged, </w:t>
      </w:r>
      <w:r w:rsidR="00C039DE" w:rsidRPr="008173C7">
        <w:rPr>
          <w:rFonts w:cs="Times New Roman"/>
          <w:lang w:val="en-US"/>
        </w:rPr>
        <w:t>resulting in individual explanation</w:t>
      </w:r>
      <w:r w:rsidR="006629D7" w:rsidRPr="008173C7">
        <w:rPr>
          <w:rFonts w:cs="Times New Roman"/>
          <w:lang w:val="en-US"/>
        </w:rPr>
        <w:t>s</w:t>
      </w:r>
      <w:r w:rsidR="00C039DE" w:rsidRPr="008173C7">
        <w:rPr>
          <w:rFonts w:cs="Times New Roman"/>
          <w:lang w:val="en-US"/>
        </w:rPr>
        <w:t xml:space="preserve"> and reformulation</w:t>
      </w:r>
      <w:r w:rsidR="006629D7" w:rsidRPr="008173C7">
        <w:rPr>
          <w:rFonts w:cs="Times New Roman"/>
          <w:lang w:val="en-US"/>
        </w:rPr>
        <w:t>s</w:t>
      </w:r>
      <w:r w:rsidR="00C039DE" w:rsidRPr="008173C7">
        <w:rPr>
          <w:rFonts w:cs="Times New Roman"/>
          <w:lang w:val="en-US"/>
        </w:rPr>
        <w:t xml:space="preserve"> </w:t>
      </w:r>
      <w:r w:rsidR="00C5544A" w:rsidRPr="008173C7">
        <w:rPr>
          <w:rFonts w:cs="Times New Roman"/>
          <w:lang w:val="en-US"/>
        </w:rPr>
        <w:t xml:space="preserve">to develop more robust and diverse </w:t>
      </w:r>
      <w:r w:rsidR="00C039DE" w:rsidRPr="008173C7">
        <w:rPr>
          <w:rFonts w:cs="Times New Roman"/>
          <w:lang w:val="en-US"/>
        </w:rPr>
        <w:t>arguments</w:t>
      </w:r>
      <w:r w:rsidR="00C5544A" w:rsidRPr="008173C7">
        <w:rPr>
          <w:rFonts w:cs="Times New Roman"/>
          <w:lang w:val="en-US"/>
        </w:rPr>
        <w:t>.</w:t>
      </w:r>
      <w:r w:rsidR="00973DF4" w:rsidRPr="008173C7">
        <w:rPr>
          <w:rFonts w:cs="Times New Roman"/>
          <w:lang w:val="en-US"/>
        </w:rPr>
        <w:t xml:space="preserve"> </w:t>
      </w:r>
      <w:r w:rsidR="008E4354" w:rsidRPr="008173C7">
        <w:rPr>
          <w:rFonts w:cs="Times New Roman"/>
          <w:lang w:val="en-US"/>
        </w:rPr>
        <w:t>Th</w:t>
      </w:r>
      <w:r w:rsidR="00D97945" w:rsidRPr="008173C7">
        <w:rPr>
          <w:rFonts w:cs="Times New Roman"/>
          <w:lang w:val="en-US"/>
        </w:rPr>
        <w:t>is collective screening of judg</w:t>
      </w:r>
      <w:r w:rsidR="008E4354" w:rsidRPr="008173C7">
        <w:rPr>
          <w:rFonts w:cs="Times New Roman"/>
          <w:lang w:val="en-US"/>
        </w:rPr>
        <w:t xml:space="preserve">ment arguments based on the sample of cases </w:t>
      </w:r>
      <w:r w:rsidR="00020A1A" w:rsidRPr="008173C7">
        <w:rPr>
          <w:rFonts w:cs="Times New Roman"/>
          <w:lang w:val="en-US"/>
        </w:rPr>
        <w:t>was carried out for</w:t>
      </w:r>
      <w:r w:rsidR="00F25EB7" w:rsidRPr="008173C7">
        <w:rPr>
          <w:rFonts w:cs="Times New Roman"/>
          <w:lang w:val="en-US"/>
        </w:rPr>
        <w:t xml:space="preserve"> each dimension </w:t>
      </w:r>
      <w:r w:rsidR="002E6F24" w:rsidRPr="008173C7">
        <w:rPr>
          <w:rFonts w:cs="Times New Roman"/>
          <w:lang w:val="en-US"/>
        </w:rPr>
        <w:t>and sub</w:t>
      </w:r>
      <w:r w:rsidR="00C039DE" w:rsidRPr="008173C7">
        <w:rPr>
          <w:rFonts w:cs="Times New Roman"/>
          <w:lang w:val="en-US"/>
        </w:rPr>
        <w:t>-</w:t>
      </w:r>
      <w:r w:rsidR="002E6F24" w:rsidRPr="008173C7">
        <w:rPr>
          <w:rFonts w:cs="Times New Roman"/>
          <w:lang w:val="en-US"/>
        </w:rPr>
        <w:t xml:space="preserve">dimension </w:t>
      </w:r>
      <w:r w:rsidR="00F25EB7" w:rsidRPr="008173C7">
        <w:rPr>
          <w:rFonts w:cs="Times New Roman"/>
          <w:lang w:val="en-US"/>
        </w:rPr>
        <w:t>of pol</w:t>
      </w:r>
      <w:r w:rsidR="007F499A" w:rsidRPr="008173C7">
        <w:rPr>
          <w:rFonts w:cs="Times New Roman"/>
          <w:lang w:val="en-US"/>
        </w:rPr>
        <w:t>itical impact</w:t>
      </w:r>
      <w:r w:rsidR="00F62B57" w:rsidRPr="008173C7">
        <w:rPr>
          <w:rFonts w:cs="Times New Roman"/>
          <w:lang w:val="en-US"/>
        </w:rPr>
        <w:t xml:space="preserve">. </w:t>
      </w:r>
      <w:r w:rsidR="00036F46" w:rsidRPr="008173C7">
        <w:rPr>
          <w:rFonts w:cs="Times New Roman"/>
          <w:lang w:val="en-US"/>
        </w:rPr>
        <w:t xml:space="preserve">The experts declared themselves satisfied with the dialogue and in-depth analysis of the political impacts. The meeting resulted in </w:t>
      </w:r>
      <w:r w:rsidR="00175C41" w:rsidRPr="008173C7">
        <w:rPr>
          <w:rFonts w:cs="Times New Roman"/>
          <w:lang w:val="en-US"/>
        </w:rPr>
        <w:t xml:space="preserve">1) a </w:t>
      </w:r>
      <w:r w:rsidR="00C039DE" w:rsidRPr="008173C7">
        <w:rPr>
          <w:rFonts w:cs="Times New Roman"/>
          <w:lang w:val="en-US"/>
        </w:rPr>
        <w:t xml:space="preserve">rating </w:t>
      </w:r>
      <w:r w:rsidR="00175C41" w:rsidRPr="008173C7">
        <w:rPr>
          <w:rFonts w:cs="Times New Roman"/>
          <w:lang w:val="en-US"/>
        </w:rPr>
        <w:t xml:space="preserve">on a 1 to 5 scale assigned by each expert to each dimension of political impact </w:t>
      </w:r>
      <w:r w:rsidR="00C039DE" w:rsidRPr="008173C7">
        <w:rPr>
          <w:rFonts w:cs="Times New Roman"/>
          <w:lang w:val="en-US"/>
        </w:rPr>
        <w:t xml:space="preserve">for </w:t>
      </w:r>
      <w:r w:rsidR="00175C41" w:rsidRPr="008173C7">
        <w:rPr>
          <w:rFonts w:cs="Times New Roman"/>
          <w:lang w:val="en-US"/>
        </w:rPr>
        <w:t xml:space="preserve">each case, and 2) </w:t>
      </w:r>
      <w:r w:rsidR="00C039DE" w:rsidRPr="008173C7">
        <w:rPr>
          <w:rFonts w:cs="Times New Roman"/>
          <w:lang w:val="en-US"/>
        </w:rPr>
        <w:t xml:space="preserve">the </w:t>
      </w:r>
      <w:r w:rsidR="00175C41" w:rsidRPr="008173C7">
        <w:rPr>
          <w:rFonts w:cs="Times New Roman"/>
          <w:lang w:val="en-US"/>
        </w:rPr>
        <w:t xml:space="preserve">arguments </w:t>
      </w:r>
      <w:r w:rsidR="00C039DE" w:rsidRPr="008173C7">
        <w:rPr>
          <w:rFonts w:cs="Times New Roman"/>
          <w:lang w:val="en-US"/>
        </w:rPr>
        <w:t xml:space="preserve">associated to </w:t>
      </w:r>
      <w:r w:rsidR="00175C41" w:rsidRPr="008173C7">
        <w:rPr>
          <w:rFonts w:cs="Times New Roman"/>
          <w:lang w:val="en-US"/>
        </w:rPr>
        <w:t xml:space="preserve">each </w:t>
      </w:r>
      <w:r w:rsidR="00C039DE" w:rsidRPr="008173C7">
        <w:rPr>
          <w:rFonts w:cs="Times New Roman"/>
          <w:lang w:val="en-US"/>
        </w:rPr>
        <w:t>rating</w:t>
      </w:r>
      <w:r w:rsidR="00973DF4" w:rsidRPr="008173C7">
        <w:rPr>
          <w:rFonts w:cs="Times New Roman"/>
          <w:lang w:val="en-US"/>
        </w:rPr>
        <w:t>,</w:t>
      </w:r>
      <w:r w:rsidR="00175C41" w:rsidRPr="008173C7">
        <w:rPr>
          <w:rFonts w:cs="Times New Roman"/>
          <w:lang w:val="en-US"/>
        </w:rPr>
        <w:t xml:space="preserve"> and related to each sub dimension of political impact.</w:t>
      </w:r>
    </w:p>
    <w:p w14:paraId="7808245E" w14:textId="016DCD96" w:rsidR="004006F5" w:rsidRPr="008173C7" w:rsidRDefault="00C55141" w:rsidP="000401BB">
      <w:pPr>
        <w:pStyle w:val="Titre3"/>
        <w:spacing w:line="480" w:lineRule="auto"/>
        <w:rPr>
          <w:rFonts w:ascii="Times New Roman" w:hAnsi="Times New Roman" w:cs="Times New Roman"/>
          <w:color w:val="auto"/>
          <w:lang w:val="en-US"/>
        </w:rPr>
      </w:pPr>
      <w:r w:rsidRPr="008173C7">
        <w:rPr>
          <w:rFonts w:ascii="Times New Roman" w:hAnsi="Times New Roman" w:cs="Times New Roman"/>
          <w:color w:val="auto"/>
          <w:lang w:val="en-US"/>
        </w:rPr>
        <w:t xml:space="preserve">2.3 </w:t>
      </w:r>
      <w:r w:rsidR="008C469C" w:rsidRPr="008173C7">
        <w:rPr>
          <w:rFonts w:ascii="Times New Roman" w:hAnsi="Times New Roman" w:cs="Times New Roman"/>
          <w:color w:val="auto"/>
          <w:lang w:val="en-US"/>
        </w:rPr>
        <w:t>Processing d</w:t>
      </w:r>
      <w:r w:rsidR="004006F5" w:rsidRPr="008173C7">
        <w:rPr>
          <w:rFonts w:ascii="Times New Roman" w:hAnsi="Times New Roman" w:cs="Times New Roman"/>
          <w:color w:val="auto"/>
          <w:lang w:val="en-US"/>
        </w:rPr>
        <w:t>ata</w:t>
      </w:r>
      <w:r w:rsidR="0065465A" w:rsidRPr="008173C7">
        <w:rPr>
          <w:rFonts w:ascii="Times New Roman" w:hAnsi="Times New Roman" w:cs="Times New Roman"/>
          <w:color w:val="auto"/>
          <w:lang w:val="en-US"/>
        </w:rPr>
        <w:t xml:space="preserve"> and </w:t>
      </w:r>
      <w:r w:rsidR="000A78FD" w:rsidRPr="008173C7">
        <w:rPr>
          <w:rFonts w:ascii="Times New Roman" w:hAnsi="Times New Roman" w:cs="Times New Roman"/>
          <w:color w:val="auto"/>
          <w:lang w:val="en-US"/>
        </w:rPr>
        <w:t>design</w:t>
      </w:r>
      <w:r w:rsidR="00317318" w:rsidRPr="008173C7">
        <w:rPr>
          <w:rFonts w:ascii="Times New Roman" w:hAnsi="Times New Roman" w:cs="Times New Roman"/>
          <w:color w:val="auto"/>
          <w:lang w:val="en-US"/>
        </w:rPr>
        <w:t>ing</w:t>
      </w:r>
      <w:r w:rsidR="004006F5" w:rsidRPr="008173C7">
        <w:rPr>
          <w:rFonts w:ascii="Times New Roman" w:hAnsi="Times New Roman" w:cs="Times New Roman"/>
          <w:color w:val="auto"/>
          <w:lang w:val="en-US"/>
        </w:rPr>
        <w:t xml:space="preserve"> </w:t>
      </w:r>
      <w:r w:rsidR="00CD055A" w:rsidRPr="008173C7">
        <w:rPr>
          <w:rFonts w:ascii="Times New Roman" w:hAnsi="Times New Roman" w:cs="Times New Roman"/>
          <w:color w:val="auto"/>
          <w:lang w:val="en-US"/>
        </w:rPr>
        <w:t>an evaluation rating scale</w:t>
      </w:r>
    </w:p>
    <w:p w14:paraId="167E0CD3" w14:textId="6D47AAE8" w:rsidR="00D97EB5" w:rsidRPr="008173C7" w:rsidRDefault="00D97EB5" w:rsidP="000401BB">
      <w:pPr>
        <w:spacing w:line="480" w:lineRule="auto"/>
        <w:rPr>
          <w:rFonts w:cs="Times New Roman"/>
          <w:lang w:val="en-US"/>
        </w:rPr>
      </w:pPr>
      <w:r w:rsidRPr="008173C7">
        <w:rPr>
          <w:rFonts w:cs="Times New Roman"/>
          <w:lang w:val="en-US"/>
        </w:rPr>
        <w:t xml:space="preserve">After the meeting, we analyzed the dispersion </w:t>
      </w:r>
      <w:r w:rsidR="00C039DE" w:rsidRPr="008173C7">
        <w:rPr>
          <w:rFonts w:cs="Times New Roman"/>
          <w:lang w:val="en-US"/>
        </w:rPr>
        <w:t xml:space="preserve">of the expert ratings, </w:t>
      </w:r>
      <w:r w:rsidRPr="008173C7">
        <w:rPr>
          <w:rFonts w:cs="Times New Roman"/>
          <w:lang w:val="en-US"/>
        </w:rPr>
        <w:t>and the arguments a</w:t>
      </w:r>
      <w:r w:rsidR="009C001F" w:rsidRPr="008173C7">
        <w:rPr>
          <w:rFonts w:cs="Times New Roman"/>
          <w:lang w:val="en-US"/>
        </w:rPr>
        <w:t>ssociated to each sub</w:t>
      </w:r>
      <w:r w:rsidR="00C039DE" w:rsidRPr="008173C7">
        <w:rPr>
          <w:rFonts w:cs="Times New Roman"/>
          <w:lang w:val="en-US"/>
        </w:rPr>
        <w:t>-</w:t>
      </w:r>
      <w:r w:rsidR="009C001F" w:rsidRPr="008173C7">
        <w:rPr>
          <w:rFonts w:cs="Times New Roman"/>
          <w:lang w:val="en-US"/>
        </w:rPr>
        <w:t>dimension</w:t>
      </w:r>
      <w:r w:rsidRPr="008173C7">
        <w:rPr>
          <w:rFonts w:cs="Times New Roman"/>
          <w:lang w:val="en-US"/>
        </w:rPr>
        <w:t xml:space="preserve">. </w:t>
      </w:r>
      <w:r w:rsidR="00C039DE" w:rsidRPr="008173C7">
        <w:rPr>
          <w:rFonts w:cs="Times New Roman"/>
          <w:lang w:val="en-US"/>
        </w:rPr>
        <w:t>After collective discussion and rerating, t</w:t>
      </w:r>
      <w:r w:rsidR="0054018B" w:rsidRPr="008173C7">
        <w:rPr>
          <w:rFonts w:cs="Times New Roman"/>
          <w:lang w:val="en-US"/>
        </w:rPr>
        <w:t xml:space="preserve">he </w:t>
      </w:r>
      <w:r w:rsidR="00C039DE" w:rsidRPr="008173C7">
        <w:rPr>
          <w:rFonts w:cs="Times New Roman"/>
          <w:lang w:val="en-US"/>
        </w:rPr>
        <w:t xml:space="preserve">ratings </w:t>
      </w:r>
      <w:r w:rsidR="0054018B" w:rsidRPr="008173C7">
        <w:rPr>
          <w:rFonts w:cs="Times New Roman"/>
          <w:lang w:val="en-US"/>
        </w:rPr>
        <w:t>awarded by the different experts to specific case</w:t>
      </w:r>
      <w:r w:rsidR="00C039DE" w:rsidRPr="008173C7">
        <w:rPr>
          <w:rFonts w:cs="Times New Roman"/>
          <w:lang w:val="en-US"/>
        </w:rPr>
        <w:t>s</w:t>
      </w:r>
      <w:r w:rsidR="0054018B" w:rsidRPr="008173C7">
        <w:rPr>
          <w:rFonts w:cs="Times New Roman"/>
          <w:lang w:val="en-US"/>
        </w:rPr>
        <w:t xml:space="preserve"> along each political dimension </w:t>
      </w:r>
      <w:r w:rsidR="00996799" w:rsidRPr="008173C7">
        <w:rPr>
          <w:rFonts w:cs="Times New Roman"/>
          <w:lang w:val="en-US"/>
        </w:rPr>
        <w:t>differed</w:t>
      </w:r>
      <w:r w:rsidR="0054018B" w:rsidRPr="008173C7">
        <w:rPr>
          <w:rFonts w:cs="Times New Roman"/>
          <w:lang w:val="en-US"/>
        </w:rPr>
        <w:t xml:space="preserve">. However, the </w:t>
      </w:r>
      <w:r w:rsidR="00996799" w:rsidRPr="008173C7">
        <w:rPr>
          <w:rFonts w:cs="Times New Roman"/>
          <w:lang w:val="en-US"/>
        </w:rPr>
        <w:t>overall</w:t>
      </w:r>
      <w:r w:rsidR="0054018B" w:rsidRPr="008173C7">
        <w:rPr>
          <w:rFonts w:cs="Times New Roman"/>
          <w:lang w:val="en-US"/>
        </w:rPr>
        <w:t xml:space="preserve"> </w:t>
      </w:r>
      <w:r w:rsidR="006629D7" w:rsidRPr="008173C7">
        <w:rPr>
          <w:rFonts w:cs="Times New Roman"/>
          <w:lang w:val="en-US"/>
        </w:rPr>
        <w:t xml:space="preserve">ratings were coherent </w:t>
      </w:r>
      <w:r w:rsidR="00996799" w:rsidRPr="008173C7">
        <w:rPr>
          <w:rFonts w:cs="Times New Roman"/>
          <w:lang w:val="en-US"/>
        </w:rPr>
        <w:t xml:space="preserve">since the </w:t>
      </w:r>
      <w:r w:rsidR="0054018B" w:rsidRPr="008173C7">
        <w:rPr>
          <w:rFonts w:cs="Times New Roman"/>
          <w:lang w:val="en-US"/>
        </w:rPr>
        <w:t xml:space="preserve">experts tended to agree on </w:t>
      </w:r>
      <w:r w:rsidR="006629D7" w:rsidRPr="008173C7">
        <w:rPr>
          <w:rFonts w:cs="Times New Roman"/>
          <w:lang w:val="en-US"/>
        </w:rPr>
        <w:t xml:space="preserve">the </w:t>
      </w:r>
      <w:r w:rsidR="0054018B" w:rsidRPr="008173C7">
        <w:rPr>
          <w:rFonts w:cs="Times New Roman"/>
          <w:lang w:val="en-US"/>
        </w:rPr>
        <w:t>assign</w:t>
      </w:r>
      <w:r w:rsidR="00996799" w:rsidRPr="008173C7">
        <w:rPr>
          <w:rFonts w:cs="Times New Roman"/>
          <w:lang w:val="en-US"/>
        </w:rPr>
        <w:t xml:space="preserve">ment of a </w:t>
      </w:r>
      <w:r w:rsidR="0054018B" w:rsidRPr="008173C7">
        <w:rPr>
          <w:rFonts w:cs="Times New Roman"/>
          <w:lang w:val="en-US"/>
        </w:rPr>
        <w:t xml:space="preserve">high </w:t>
      </w:r>
      <w:r w:rsidR="00996799" w:rsidRPr="008173C7">
        <w:rPr>
          <w:rFonts w:cs="Times New Roman"/>
          <w:lang w:val="en-US"/>
        </w:rPr>
        <w:t xml:space="preserve">or </w:t>
      </w:r>
      <w:r w:rsidR="0054018B" w:rsidRPr="008173C7">
        <w:rPr>
          <w:rFonts w:cs="Times New Roman"/>
          <w:lang w:val="en-US"/>
        </w:rPr>
        <w:t>low score</w:t>
      </w:r>
      <w:r w:rsidR="00996799" w:rsidRPr="008173C7">
        <w:rPr>
          <w:rFonts w:cs="Times New Roman"/>
          <w:lang w:val="en-US"/>
        </w:rPr>
        <w:t xml:space="preserve">, </w:t>
      </w:r>
      <w:r w:rsidR="006629D7" w:rsidRPr="008173C7">
        <w:rPr>
          <w:rFonts w:cs="Times New Roman"/>
          <w:lang w:val="en-US"/>
        </w:rPr>
        <w:t xml:space="preserve">and </w:t>
      </w:r>
      <w:r w:rsidR="00996799" w:rsidRPr="008173C7">
        <w:rPr>
          <w:rFonts w:cs="Times New Roman"/>
          <w:lang w:val="en-US"/>
        </w:rPr>
        <w:t xml:space="preserve">justified </w:t>
      </w:r>
      <w:r w:rsidR="006629D7" w:rsidRPr="008173C7">
        <w:rPr>
          <w:rFonts w:cs="Times New Roman"/>
          <w:lang w:val="en-US"/>
        </w:rPr>
        <w:t xml:space="preserve">it using </w:t>
      </w:r>
      <w:r w:rsidR="00996799" w:rsidRPr="008173C7">
        <w:rPr>
          <w:rFonts w:cs="Times New Roman"/>
          <w:lang w:val="en-US"/>
        </w:rPr>
        <w:t>similar arguments</w:t>
      </w:r>
      <w:r w:rsidR="0054018B" w:rsidRPr="008173C7">
        <w:rPr>
          <w:rFonts w:cs="Times New Roman"/>
          <w:lang w:val="en-US"/>
        </w:rPr>
        <w:t xml:space="preserve">. </w:t>
      </w:r>
      <w:r w:rsidRPr="008173C7">
        <w:rPr>
          <w:rFonts w:cs="Times New Roman"/>
          <w:lang w:val="en-US"/>
        </w:rPr>
        <w:t xml:space="preserve">We </w:t>
      </w:r>
      <w:r w:rsidR="00996799" w:rsidRPr="008173C7">
        <w:rPr>
          <w:rFonts w:cs="Times New Roman"/>
          <w:lang w:val="en-US"/>
        </w:rPr>
        <w:t xml:space="preserve">processed the </w:t>
      </w:r>
      <w:r w:rsidR="00FA647D" w:rsidRPr="008173C7">
        <w:rPr>
          <w:rFonts w:cs="Times New Roman"/>
          <w:lang w:val="en-US"/>
        </w:rPr>
        <w:t>data</w:t>
      </w:r>
      <w:r w:rsidR="005814C2" w:rsidRPr="008173C7">
        <w:rPr>
          <w:rFonts w:cs="Times New Roman"/>
          <w:lang w:val="en-US"/>
        </w:rPr>
        <w:t xml:space="preserve"> first </w:t>
      </w:r>
      <w:r w:rsidR="00996799" w:rsidRPr="008173C7">
        <w:rPr>
          <w:rFonts w:cs="Times New Roman"/>
          <w:lang w:val="en-US"/>
        </w:rPr>
        <w:t xml:space="preserve">by </w:t>
      </w:r>
      <w:r w:rsidR="005814C2" w:rsidRPr="008173C7">
        <w:rPr>
          <w:rFonts w:cs="Times New Roman"/>
          <w:lang w:val="en-US"/>
        </w:rPr>
        <w:t xml:space="preserve">identifying generic evaluation criteria, and second </w:t>
      </w:r>
      <w:r w:rsidR="00996799" w:rsidRPr="008173C7">
        <w:rPr>
          <w:rFonts w:cs="Times New Roman"/>
          <w:lang w:val="en-US"/>
        </w:rPr>
        <w:t xml:space="preserve">by </w:t>
      </w:r>
      <w:r w:rsidR="005814C2" w:rsidRPr="008173C7">
        <w:rPr>
          <w:rFonts w:cs="Times New Roman"/>
          <w:lang w:val="en-US"/>
        </w:rPr>
        <w:t>hierarchi</w:t>
      </w:r>
      <w:r w:rsidR="00996799" w:rsidRPr="008173C7">
        <w:rPr>
          <w:rFonts w:cs="Times New Roman"/>
          <w:lang w:val="en-US"/>
        </w:rPr>
        <w:t xml:space="preserve">cal ordering of </w:t>
      </w:r>
      <w:r w:rsidR="005814C2" w:rsidRPr="008173C7">
        <w:rPr>
          <w:rFonts w:cs="Times New Roman"/>
          <w:lang w:val="en-US"/>
        </w:rPr>
        <w:t xml:space="preserve">these criteria. </w:t>
      </w:r>
    </w:p>
    <w:p w14:paraId="3528912D" w14:textId="77777777" w:rsidR="009D24E9" w:rsidRPr="008173C7" w:rsidRDefault="00507D55" w:rsidP="000401BB">
      <w:pPr>
        <w:spacing w:line="480" w:lineRule="auto"/>
        <w:rPr>
          <w:rFonts w:cs="Times New Roman"/>
          <w:lang w:val="en-US"/>
        </w:rPr>
      </w:pPr>
      <w:r w:rsidRPr="008173C7">
        <w:rPr>
          <w:rFonts w:cs="Times New Roman"/>
          <w:lang w:val="en-US"/>
        </w:rPr>
        <w:t xml:space="preserve">Experts did not </w:t>
      </w:r>
      <w:r w:rsidR="00996799" w:rsidRPr="008173C7">
        <w:rPr>
          <w:rFonts w:cs="Times New Roman"/>
          <w:lang w:val="en-US"/>
        </w:rPr>
        <w:t xml:space="preserve">offer </w:t>
      </w:r>
      <w:r w:rsidRPr="008173C7">
        <w:rPr>
          <w:rFonts w:cs="Times New Roman"/>
          <w:lang w:val="en-US"/>
        </w:rPr>
        <w:t xml:space="preserve">isolated </w:t>
      </w:r>
      <w:r w:rsidR="004B5F0D" w:rsidRPr="008173C7">
        <w:rPr>
          <w:rFonts w:cs="Times New Roman"/>
          <w:lang w:val="en-US"/>
        </w:rPr>
        <w:t>arguments</w:t>
      </w:r>
      <w:r w:rsidRPr="008173C7">
        <w:rPr>
          <w:rFonts w:cs="Times New Roman"/>
          <w:lang w:val="en-US"/>
        </w:rPr>
        <w:t xml:space="preserve"> to justify their </w:t>
      </w:r>
      <w:r w:rsidR="00996799" w:rsidRPr="008173C7">
        <w:rPr>
          <w:rFonts w:cs="Times New Roman"/>
          <w:lang w:val="en-US"/>
        </w:rPr>
        <w:t xml:space="preserve">ratings for </w:t>
      </w:r>
      <w:r w:rsidRPr="008173C7">
        <w:rPr>
          <w:rFonts w:cs="Times New Roman"/>
          <w:lang w:val="en-US"/>
        </w:rPr>
        <w:t>each sub dimension</w:t>
      </w:r>
      <w:r w:rsidR="00996799" w:rsidRPr="008173C7">
        <w:rPr>
          <w:rFonts w:cs="Times New Roman"/>
          <w:lang w:val="en-US"/>
        </w:rPr>
        <w:t xml:space="preserve">; rather they combined </w:t>
      </w:r>
      <w:r w:rsidRPr="008173C7">
        <w:rPr>
          <w:rFonts w:cs="Times New Roman"/>
          <w:lang w:val="en-US"/>
        </w:rPr>
        <w:t xml:space="preserve">several </w:t>
      </w:r>
      <w:r w:rsidR="004B5F0D" w:rsidRPr="008173C7">
        <w:rPr>
          <w:rFonts w:cs="Times New Roman"/>
          <w:lang w:val="en-US"/>
        </w:rPr>
        <w:t>arguments</w:t>
      </w:r>
      <w:r w:rsidRPr="008173C7">
        <w:rPr>
          <w:rFonts w:cs="Times New Roman"/>
          <w:lang w:val="en-US"/>
        </w:rPr>
        <w:t xml:space="preserve"> related to a given sub</w:t>
      </w:r>
      <w:r w:rsidR="00996799" w:rsidRPr="008173C7">
        <w:rPr>
          <w:rFonts w:cs="Times New Roman"/>
          <w:lang w:val="en-US"/>
        </w:rPr>
        <w:t>-</w:t>
      </w:r>
      <w:r w:rsidRPr="008173C7">
        <w:rPr>
          <w:rFonts w:cs="Times New Roman"/>
          <w:lang w:val="en-US"/>
        </w:rPr>
        <w:t xml:space="preserve">dimension. </w:t>
      </w:r>
      <w:r w:rsidR="00996799" w:rsidRPr="008173C7">
        <w:rPr>
          <w:rFonts w:cs="Times New Roman"/>
          <w:lang w:val="en-US"/>
        </w:rPr>
        <w:t>This constitute</w:t>
      </w:r>
      <w:r w:rsidR="006629D7" w:rsidRPr="008173C7">
        <w:rPr>
          <w:rFonts w:cs="Times New Roman"/>
          <w:lang w:val="en-US"/>
        </w:rPr>
        <w:t>d</w:t>
      </w:r>
      <w:r w:rsidR="00996799" w:rsidRPr="008173C7">
        <w:rPr>
          <w:rFonts w:cs="Times New Roman"/>
          <w:lang w:val="en-US"/>
        </w:rPr>
        <w:t xml:space="preserve"> </w:t>
      </w:r>
      <w:r w:rsidR="00C14A47" w:rsidRPr="008173C7">
        <w:rPr>
          <w:rFonts w:cs="Times New Roman"/>
          <w:lang w:val="en-US"/>
        </w:rPr>
        <w:t xml:space="preserve">a </w:t>
      </w:r>
      <w:r w:rsidR="00CC484C" w:rsidRPr="008173C7">
        <w:rPr>
          <w:rFonts w:cs="Times New Roman"/>
          <w:lang w:val="en-US"/>
        </w:rPr>
        <w:t>set of evidence</w:t>
      </w:r>
      <w:r w:rsidR="00C14A47" w:rsidRPr="008173C7">
        <w:rPr>
          <w:rFonts w:cs="Times New Roman"/>
          <w:lang w:val="en-US"/>
        </w:rPr>
        <w:t xml:space="preserve"> </w:t>
      </w:r>
      <w:r w:rsidR="00996799" w:rsidRPr="008173C7">
        <w:rPr>
          <w:rFonts w:cs="Times New Roman"/>
          <w:lang w:val="en-US"/>
        </w:rPr>
        <w:t xml:space="preserve">on which the </w:t>
      </w:r>
      <w:r w:rsidR="00C14A47" w:rsidRPr="008173C7">
        <w:rPr>
          <w:rFonts w:cs="Times New Roman"/>
          <w:lang w:val="en-US"/>
        </w:rPr>
        <w:t>rating</w:t>
      </w:r>
      <w:r w:rsidR="00020ABB" w:rsidRPr="008173C7">
        <w:rPr>
          <w:rFonts w:cs="Times New Roman"/>
          <w:lang w:val="en-US"/>
        </w:rPr>
        <w:t xml:space="preserve"> </w:t>
      </w:r>
      <w:r w:rsidR="006629D7" w:rsidRPr="008173C7">
        <w:rPr>
          <w:rFonts w:cs="Times New Roman"/>
          <w:lang w:val="en-US"/>
        </w:rPr>
        <w:t>was</w:t>
      </w:r>
      <w:r w:rsidR="00996799" w:rsidRPr="008173C7">
        <w:rPr>
          <w:rFonts w:cs="Times New Roman"/>
          <w:lang w:val="en-US"/>
        </w:rPr>
        <w:t xml:space="preserve"> based </w:t>
      </w:r>
      <w:r w:rsidR="00020ABB" w:rsidRPr="008173C7">
        <w:rPr>
          <w:rFonts w:cs="Times New Roman"/>
          <w:lang w:val="en-US"/>
        </w:rPr>
        <w:t>(see table 2</w:t>
      </w:r>
      <w:r w:rsidR="005814C2" w:rsidRPr="008173C7">
        <w:rPr>
          <w:rFonts w:cs="Times New Roman"/>
          <w:lang w:val="en-US"/>
        </w:rPr>
        <w:t>).</w:t>
      </w:r>
      <w:r w:rsidR="001F2183" w:rsidRPr="008173C7">
        <w:rPr>
          <w:rFonts w:cs="Times New Roman"/>
          <w:lang w:val="en-US"/>
        </w:rPr>
        <w:t xml:space="preserve"> </w:t>
      </w:r>
    </w:p>
    <w:p w14:paraId="3B1C6ECC" w14:textId="26D233CD" w:rsidR="007D2A2A" w:rsidRPr="008173C7" w:rsidRDefault="007D2A2A" w:rsidP="000401BB">
      <w:pPr>
        <w:spacing w:line="480" w:lineRule="auto"/>
        <w:rPr>
          <w:rFonts w:cs="Times New Roman"/>
          <w:bCs/>
          <w:lang w:val="en-US"/>
        </w:rPr>
      </w:pPr>
      <w:r w:rsidRPr="008173C7">
        <w:rPr>
          <w:rFonts w:cs="Times New Roman"/>
          <w:lang w:val="en-US"/>
        </w:rPr>
        <w:t>Table 2: Example</w:t>
      </w:r>
      <w:r w:rsidR="00996799" w:rsidRPr="008173C7">
        <w:rPr>
          <w:rFonts w:cs="Times New Roman"/>
          <w:lang w:val="en-US"/>
        </w:rPr>
        <w:t>s</w:t>
      </w:r>
      <w:r w:rsidRPr="008173C7">
        <w:rPr>
          <w:rFonts w:cs="Times New Roman"/>
          <w:lang w:val="en-US"/>
        </w:rPr>
        <w:t xml:space="preserve"> of </w:t>
      </w:r>
      <w:r w:rsidR="00996799" w:rsidRPr="008173C7">
        <w:rPr>
          <w:rFonts w:cs="Times New Roman"/>
          <w:lang w:val="en-US"/>
        </w:rPr>
        <w:t xml:space="preserve">the </w:t>
      </w:r>
      <w:r w:rsidRPr="008173C7">
        <w:rPr>
          <w:rFonts w:cs="Times New Roman"/>
          <w:lang w:val="en-US"/>
        </w:rPr>
        <w:t xml:space="preserve">arguments </w:t>
      </w:r>
      <w:r w:rsidR="00996799" w:rsidRPr="008173C7">
        <w:rPr>
          <w:rFonts w:cs="Times New Roman"/>
          <w:lang w:val="en-US"/>
        </w:rPr>
        <w:t xml:space="preserve">proposed </w:t>
      </w:r>
      <w:r w:rsidRPr="008173C7">
        <w:rPr>
          <w:rFonts w:cs="Times New Roman"/>
          <w:lang w:val="en-US"/>
        </w:rPr>
        <w:t>by the experts on three cases</w:t>
      </w:r>
      <w:r w:rsidR="007F15AD" w:rsidRPr="008173C7">
        <w:rPr>
          <w:rFonts w:cs="Times New Roman"/>
          <w:lang w:val="en-US"/>
        </w:rPr>
        <w:t xml:space="preserve"> (out of the five pilot cases)</w:t>
      </w:r>
      <w:r w:rsidRPr="008173C7">
        <w:rPr>
          <w:rFonts w:cs="Times New Roman"/>
          <w:lang w:val="en-US"/>
        </w:rPr>
        <w:t xml:space="preserve"> for the dimension “</w:t>
      </w:r>
      <w:r w:rsidRPr="008173C7">
        <w:rPr>
          <w:rFonts w:cs="Times New Roman"/>
          <w:bCs/>
          <w:lang w:val="en-US"/>
        </w:rPr>
        <w:t>Use in public debate and policy negotiation”</w:t>
      </w:r>
    </w:p>
    <w:tbl>
      <w:tblPr>
        <w:tblStyle w:val="Grilledutableau1"/>
        <w:tblW w:w="110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712"/>
        <w:gridCol w:w="2632"/>
        <w:gridCol w:w="2268"/>
        <w:gridCol w:w="2268"/>
        <w:gridCol w:w="2002"/>
      </w:tblGrid>
      <w:tr w:rsidR="00771BF6" w:rsidRPr="00921D03" w14:paraId="6557FA1A" w14:textId="77777777" w:rsidTr="006F04B4">
        <w:trPr>
          <w:jc w:val="center"/>
        </w:trPr>
        <w:tc>
          <w:tcPr>
            <w:tcW w:w="1210" w:type="dxa"/>
            <w:vAlign w:val="center"/>
          </w:tcPr>
          <w:p w14:paraId="4CD360C0" w14:textId="77777777" w:rsidR="007D2A2A" w:rsidRPr="008173C7" w:rsidRDefault="007D2A2A" w:rsidP="00E65323">
            <w:pPr>
              <w:jc w:val="center"/>
              <w:rPr>
                <w:rFonts w:cs="Times New Roman"/>
                <w:lang w:val="en-US"/>
              </w:rPr>
            </w:pPr>
            <w:r w:rsidRPr="008173C7">
              <w:rPr>
                <w:rFonts w:cs="Times New Roman"/>
                <w:lang w:val="en-US"/>
              </w:rPr>
              <w:t>Experts</w:t>
            </w:r>
          </w:p>
        </w:tc>
        <w:tc>
          <w:tcPr>
            <w:tcW w:w="712" w:type="dxa"/>
            <w:vAlign w:val="center"/>
          </w:tcPr>
          <w:p w14:paraId="64337B04" w14:textId="77777777" w:rsidR="007D2A2A" w:rsidRPr="008173C7" w:rsidRDefault="007D2A2A" w:rsidP="00E65323">
            <w:pPr>
              <w:jc w:val="center"/>
              <w:rPr>
                <w:rFonts w:cs="Times New Roman"/>
                <w:lang w:val="en-US"/>
              </w:rPr>
            </w:pPr>
            <w:r w:rsidRPr="008173C7">
              <w:rPr>
                <w:rFonts w:cs="Times New Roman"/>
                <w:lang w:val="en-US"/>
              </w:rPr>
              <w:t>Mark</w:t>
            </w:r>
            <w:r w:rsidR="008E2737" w:rsidRPr="008173C7">
              <w:rPr>
                <w:rFonts w:cs="Times New Roman"/>
                <w:lang w:val="en-US"/>
              </w:rPr>
              <w:t xml:space="preserve"> (/5)</w:t>
            </w:r>
          </w:p>
        </w:tc>
        <w:tc>
          <w:tcPr>
            <w:tcW w:w="9170" w:type="dxa"/>
            <w:gridSpan w:val="4"/>
            <w:vAlign w:val="center"/>
          </w:tcPr>
          <w:p w14:paraId="26033D6B" w14:textId="77777777" w:rsidR="007D2A2A" w:rsidRPr="008173C7" w:rsidRDefault="007D2A2A" w:rsidP="00E65323">
            <w:pPr>
              <w:jc w:val="center"/>
              <w:rPr>
                <w:rFonts w:cs="Times New Roman"/>
                <w:lang w:val="en-US"/>
              </w:rPr>
            </w:pPr>
            <w:r w:rsidRPr="008173C7">
              <w:rPr>
                <w:rFonts w:cs="Times New Roman"/>
                <w:lang w:val="en-US"/>
              </w:rPr>
              <w:t>Arguments related to each sub</w:t>
            </w:r>
            <w:r w:rsidR="00996799" w:rsidRPr="008173C7">
              <w:rPr>
                <w:rFonts w:cs="Times New Roman"/>
                <w:lang w:val="en-US"/>
              </w:rPr>
              <w:t>-</w:t>
            </w:r>
            <w:r w:rsidRPr="008173C7">
              <w:rPr>
                <w:rFonts w:cs="Times New Roman"/>
                <w:lang w:val="en-US"/>
              </w:rPr>
              <w:t>dimension</w:t>
            </w:r>
            <w:r w:rsidR="008E2737" w:rsidRPr="008173C7">
              <w:rPr>
                <w:rFonts w:cs="Times New Roman"/>
                <w:lang w:val="en-US"/>
              </w:rPr>
              <w:t xml:space="preserve"> of </w:t>
            </w:r>
            <w:r w:rsidR="008E2737" w:rsidRPr="008173C7">
              <w:rPr>
                <w:rFonts w:cs="Times New Roman"/>
                <w:bCs/>
                <w:lang w:val="en-US"/>
              </w:rPr>
              <w:t>“Use in public debate and policy negotiation”:</w:t>
            </w:r>
            <w:r w:rsidRPr="008173C7">
              <w:rPr>
                <w:rFonts w:cs="Times New Roman"/>
                <w:lang w:val="en-US"/>
              </w:rPr>
              <w:tab/>
            </w:r>
          </w:p>
        </w:tc>
      </w:tr>
      <w:tr w:rsidR="00771BF6" w:rsidRPr="00921D03" w14:paraId="7FF08F6B" w14:textId="77777777" w:rsidTr="006F04B4">
        <w:trPr>
          <w:jc w:val="center"/>
        </w:trPr>
        <w:tc>
          <w:tcPr>
            <w:tcW w:w="1210" w:type="dxa"/>
            <w:tcBorders>
              <w:bottom w:val="single" w:sz="18" w:space="0" w:color="auto"/>
            </w:tcBorders>
            <w:vAlign w:val="center"/>
          </w:tcPr>
          <w:p w14:paraId="7B22952D" w14:textId="77777777" w:rsidR="007D2A2A" w:rsidRPr="008173C7" w:rsidRDefault="007D2A2A" w:rsidP="00E65323">
            <w:pPr>
              <w:jc w:val="center"/>
              <w:rPr>
                <w:rFonts w:cs="Times New Roman"/>
                <w:lang w:val="en-US"/>
              </w:rPr>
            </w:pPr>
          </w:p>
        </w:tc>
        <w:tc>
          <w:tcPr>
            <w:tcW w:w="712" w:type="dxa"/>
            <w:tcBorders>
              <w:bottom w:val="single" w:sz="18" w:space="0" w:color="auto"/>
            </w:tcBorders>
            <w:vAlign w:val="center"/>
          </w:tcPr>
          <w:p w14:paraId="78C1E877" w14:textId="77777777" w:rsidR="007D2A2A" w:rsidRPr="008173C7" w:rsidRDefault="007D2A2A" w:rsidP="00E65323">
            <w:pPr>
              <w:jc w:val="center"/>
              <w:rPr>
                <w:rFonts w:cs="Times New Roman"/>
                <w:lang w:val="en-US"/>
              </w:rPr>
            </w:pPr>
          </w:p>
        </w:tc>
        <w:tc>
          <w:tcPr>
            <w:tcW w:w="2632" w:type="dxa"/>
            <w:tcBorders>
              <w:bottom w:val="single" w:sz="18" w:space="0" w:color="auto"/>
            </w:tcBorders>
            <w:vAlign w:val="center"/>
          </w:tcPr>
          <w:p w14:paraId="420006A8" w14:textId="77777777" w:rsidR="007D2A2A" w:rsidRPr="008173C7" w:rsidRDefault="007D2A2A" w:rsidP="00E65323">
            <w:pPr>
              <w:jc w:val="center"/>
              <w:rPr>
                <w:rFonts w:cs="Times New Roman"/>
                <w:lang w:val="en-US"/>
              </w:rPr>
            </w:pPr>
            <w:r w:rsidRPr="008173C7">
              <w:rPr>
                <w:rFonts w:cs="Times New Roman"/>
                <w:b/>
                <w:lang w:val="en-US"/>
              </w:rPr>
              <w:t>Quality and strength of research messages conveyed</w:t>
            </w:r>
          </w:p>
        </w:tc>
        <w:tc>
          <w:tcPr>
            <w:tcW w:w="2268" w:type="dxa"/>
            <w:tcBorders>
              <w:bottom w:val="single" w:sz="18" w:space="0" w:color="auto"/>
            </w:tcBorders>
            <w:vAlign w:val="center"/>
          </w:tcPr>
          <w:p w14:paraId="160C2464" w14:textId="77777777" w:rsidR="007D2A2A" w:rsidRPr="008173C7" w:rsidRDefault="007D2A2A" w:rsidP="00E65323">
            <w:pPr>
              <w:jc w:val="center"/>
              <w:rPr>
                <w:rFonts w:cs="Times New Roman"/>
                <w:lang w:val="en-US"/>
              </w:rPr>
            </w:pPr>
            <w:r w:rsidRPr="008173C7">
              <w:rPr>
                <w:rFonts w:cs="Times New Roman"/>
                <w:b/>
                <w:bCs/>
                <w:lang w:val="en-US"/>
              </w:rPr>
              <w:t xml:space="preserve">Timeliness of debate, </w:t>
            </w:r>
            <w:r w:rsidRPr="008173C7">
              <w:rPr>
                <w:rFonts w:cs="Times New Roman"/>
                <w:b/>
                <w:lang w:val="en-US"/>
              </w:rPr>
              <w:t>political agenda-setting</w:t>
            </w:r>
          </w:p>
        </w:tc>
        <w:tc>
          <w:tcPr>
            <w:tcW w:w="2268" w:type="dxa"/>
            <w:tcBorders>
              <w:bottom w:val="single" w:sz="18" w:space="0" w:color="auto"/>
            </w:tcBorders>
            <w:vAlign w:val="center"/>
          </w:tcPr>
          <w:p w14:paraId="6ADCBD22" w14:textId="77777777" w:rsidR="007D2A2A" w:rsidRPr="008173C7" w:rsidRDefault="007D2A2A" w:rsidP="00E65323">
            <w:pPr>
              <w:jc w:val="center"/>
              <w:rPr>
                <w:rFonts w:cs="Times New Roman"/>
                <w:lang w:val="en-US"/>
              </w:rPr>
            </w:pPr>
            <w:r w:rsidRPr="008173C7">
              <w:rPr>
                <w:rFonts w:cs="Times New Roman"/>
                <w:b/>
                <w:bCs/>
                <w:lang w:val="en-US"/>
              </w:rPr>
              <w:t>Intensity and quality of media coverage</w:t>
            </w:r>
          </w:p>
        </w:tc>
        <w:tc>
          <w:tcPr>
            <w:tcW w:w="2002" w:type="dxa"/>
            <w:tcBorders>
              <w:bottom w:val="single" w:sz="18" w:space="0" w:color="auto"/>
            </w:tcBorders>
          </w:tcPr>
          <w:p w14:paraId="3150B305" w14:textId="77777777" w:rsidR="007D2A2A" w:rsidRPr="008173C7" w:rsidRDefault="007D2A2A" w:rsidP="00E65323">
            <w:pPr>
              <w:jc w:val="center"/>
              <w:rPr>
                <w:rFonts w:cs="Times New Roman"/>
                <w:b/>
                <w:bCs/>
                <w:lang w:val="en-US"/>
              </w:rPr>
            </w:pPr>
            <w:r w:rsidRPr="008173C7">
              <w:rPr>
                <w:rFonts w:cs="Times New Roman"/>
                <w:b/>
                <w:bCs/>
                <w:lang w:val="en-US"/>
              </w:rPr>
              <w:t>Intensity and quality of debate</w:t>
            </w:r>
          </w:p>
        </w:tc>
      </w:tr>
      <w:tr w:rsidR="00771BF6" w:rsidRPr="00921D03" w14:paraId="027395EE" w14:textId="77777777" w:rsidTr="006F04B4">
        <w:trPr>
          <w:jc w:val="center"/>
        </w:trPr>
        <w:tc>
          <w:tcPr>
            <w:tcW w:w="11092" w:type="dxa"/>
            <w:gridSpan w:val="6"/>
            <w:tcBorders>
              <w:top w:val="single" w:sz="18" w:space="0" w:color="auto"/>
              <w:bottom w:val="single" w:sz="8" w:space="0" w:color="auto"/>
            </w:tcBorders>
            <w:vAlign w:val="center"/>
          </w:tcPr>
          <w:p w14:paraId="4ABAFC73" w14:textId="55FCFA12" w:rsidR="007D2A2A" w:rsidRPr="008173C7" w:rsidRDefault="007D2A2A" w:rsidP="00E65323">
            <w:pPr>
              <w:jc w:val="center"/>
              <w:rPr>
                <w:rFonts w:cs="Times New Roman"/>
                <w:lang w:val="en-US"/>
              </w:rPr>
            </w:pPr>
            <w:r w:rsidRPr="008173C7">
              <w:rPr>
                <w:rFonts w:cs="Times New Roman"/>
                <w:lang w:val="en-US"/>
              </w:rPr>
              <w:t xml:space="preserve">Case </w:t>
            </w:r>
            <w:r w:rsidRPr="008173C7">
              <w:rPr>
                <w:rFonts w:cs="Times New Roman"/>
                <w:i/>
                <w:lang w:val="en-US"/>
              </w:rPr>
              <w:t>Alert on the dangers of Bisphenol A</w:t>
            </w:r>
            <w:r w:rsidR="00AE3C19" w:rsidRPr="008173C7">
              <w:rPr>
                <w:rFonts w:cs="Times New Roman"/>
                <w:i/>
                <w:lang w:val="en-US"/>
              </w:rPr>
              <w:t xml:space="preserve"> </w:t>
            </w:r>
            <w:r w:rsidRPr="008173C7">
              <w:rPr>
                <w:rFonts w:cs="Times New Roman"/>
                <w:i/>
                <w:lang w:val="en-US"/>
              </w:rPr>
              <w:t>(BPA)</w:t>
            </w:r>
          </w:p>
        </w:tc>
      </w:tr>
      <w:tr w:rsidR="00771BF6" w:rsidRPr="00921D03" w14:paraId="0EA3F785" w14:textId="77777777" w:rsidTr="006F04B4">
        <w:trPr>
          <w:jc w:val="center"/>
        </w:trPr>
        <w:tc>
          <w:tcPr>
            <w:tcW w:w="1210" w:type="dxa"/>
            <w:tcBorders>
              <w:top w:val="single" w:sz="8" w:space="0" w:color="auto"/>
            </w:tcBorders>
            <w:vAlign w:val="center"/>
          </w:tcPr>
          <w:p w14:paraId="274B903F" w14:textId="77777777" w:rsidR="007D2A2A" w:rsidRPr="008173C7" w:rsidRDefault="007D2A2A" w:rsidP="00E65323">
            <w:pPr>
              <w:jc w:val="center"/>
              <w:rPr>
                <w:rFonts w:cs="Times New Roman"/>
                <w:lang w:val="en-US"/>
              </w:rPr>
            </w:pPr>
            <w:r w:rsidRPr="008173C7">
              <w:rPr>
                <w:rFonts w:cs="Times New Roman"/>
                <w:lang w:val="en-US"/>
              </w:rPr>
              <w:t>A</w:t>
            </w:r>
          </w:p>
        </w:tc>
        <w:tc>
          <w:tcPr>
            <w:tcW w:w="712" w:type="dxa"/>
            <w:tcBorders>
              <w:top w:val="single" w:sz="8" w:space="0" w:color="auto"/>
            </w:tcBorders>
            <w:vAlign w:val="center"/>
          </w:tcPr>
          <w:p w14:paraId="18E990FD" w14:textId="77777777" w:rsidR="007D2A2A" w:rsidRPr="008173C7" w:rsidRDefault="007D2A2A" w:rsidP="00E65323">
            <w:pPr>
              <w:jc w:val="center"/>
              <w:rPr>
                <w:rFonts w:cs="Times New Roman"/>
                <w:lang w:val="en-US"/>
              </w:rPr>
            </w:pPr>
            <w:r w:rsidRPr="008173C7">
              <w:rPr>
                <w:rFonts w:cs="Times New Roman"/>
                <w:lang w:val="en-US"/>
              </w:rPr>
              <w:t>4</w:t>
            </w:r>
          </w:p>
        </w:tc>
        <w:tc>
          <w:tcPr>
            <w:tcW w:w="2632" w:type="dxa"/>
            <w:tcBorders>
              <w:top w:val="single" w:sz="8" w:space="0" w:color="auto"/>
            </w:tcBorders>
            <w:vAlign w:val="center"/>
          </w:tcPr>
          <w:p w14:paraId="536C0B0E" w14:textId="77777777" w:rsidR="007D2A2A" w:rsidRPr="008173C7" w:rsidRDefault="007D2A2A" w:rsidP="00E65323">
            <w:pPr>
              <w:jc w:val="center"/>
              <w:rPr>
                <w:rFonts w:cs="Times New Roman"/>
                <w:lang w:val="en-US"/>
              </w:rPr>
            </w:pPr>
            <w:r w:rsidRPr="008173C7">
              <w:rPr>
                <w:rFonts w:cs="Times New Roman"/>
                <w:lang w:val="en-US"/>
              </w:rPr>
              <w:t xml:space="preserve">Research raised new questions </w:t>
            </w:r>
            <w:r w:rsidR="00996799" w:rsidRPr="008173C7">
              <w:rPr>
                <w:rFonts w:cs="Times New Roman"/>
                <w:lang w:val="en-US"/>
              </w:rPr>
              <w:t xml:space="preserve">for </w:t>
            </w:r>
            <w:r w:rsidRPr="008173C7">
              <w:rPr>
                <w:rFonts w:cs="Times New Roman"/>
                <w:lang w:val="en-US"/>
              </w:rPr>
              <w:t>the agenda</w:t>
            </w:r>
          </w:p>
        </w:tc>
        <w:tc>
          <w:tcPr>
            <w:tcW w:w="2268" w:type="dxa"/>
            <w:tcBorders>
              <w:top w:val="single" w:sz="8" w:space="0" w:color="auto"/>
            </w:tcBorders>
            <w:vAlign w:val="center"/>
          </w:tcPr>
          <w:p w14:paraId="72F10D6C" w14:textId="77777777" w:rsidR="007D2A2A" w:rsidRPr="008173C7" w:rsidRDefault="007D2A2A" w:rsidP="00E65323">
            <w:pPr>
              <w:jc w:val="center"/>
              <w:rPr>
                <w:rFonts w:cs="Times New Roman"/>
                <w:lang w:val="en-US"/>
              </w:rPr>
            </w:pPr>
          </w:p>
        </w:tc>
        <w:tc>
          <w:tcPr>
            <w:tcW w:w="2268" w:type="dxa"/>
            <w:tcBorders>
              <w:top w:val="single" w:sz="8" w:space="0" w:color="auto"/>
            </w:tcBorders>
            <w:vAlign w:val="center"/>
          </w:tcPr>
          <w:p w14:paraId="249CD34F" w14:textId="77777777" w:rsidR="007D2A2A" w:rsidRPr="008173C7" w:rsidRDefault="007D2A2A" w:rsidP="00E65323">
            <w:pPr>
              <w:jc w:val="center"/>
              <w:rPr>
                <w:rFonts w:cs="Times New Roman"/>
                <w:lang w:val="en-US"/>
              </w:rPr>
            </w:pPr>
            <w:r w:rsidRPr="008173C7">
              <w:rPr>
                <w:rFonts w:cs="Times New Roman"/>
                <w:lang w:val="en-US"/>
              </w:rPr>
              <w:t>Very intense mainstream media coverage</w:t>
            </w:r>
          </w:p>
        </w:tc>
        <w:tc>
          <w:tcPr>
            <w:tcW w:w="2002" w:type="dxa"/>
            <w:tcBorders>
              <w:top w:val="single" w:sz="8" w:space="0" w:color="auto"/>
            </w:tcBorders>
          </w:tcPr>
          <w:p w14:paraId="2F6346E8" w14:textId="77777777" w:rsidR="007D2A2A" w:rsidRPr="008173C7" w:rsidRDefault="007D2A2A" w:rsidP="00E65323">
            <w:pPr>
              <w:jc w:val="center"/>
              <w:rPr>
                <w:rFonts w:cs="Times New Roman"/>
                <w:lang w:val="en-US"/>
              </w:rPr>
            </w:pPr>
          </w:p>
        </w:tc>
      </w:tr>
      <w:tr w:rsidR="00771BF6" w:rsidRPr="00921D03" w14:paraId="11CEDAF8" w14:textId="77777777" w:rsidTr="006F04B4">
        <w:trPr>
          <w:jc w:val="center"/>
        </w:trPr>
        <w:tc>
          <w:tcPr>
            <w:tcW w:w="1210" w:type="dxa"/>
            <w:shd w:val="clear" w:color="auto" w:fill="D9D9D9" w:themeFill="background1" w:themeFillShade="D9"/>
            <w:vAlign w:val="center"/>
          </w:tcPr>
          <w:p w14:paraId="435B5680" w14:textId="77777777" w:rsidR="007D2A2A" w:rsidRPr="008173C7" w:rsidRDefault="007D2A2A" w:rsidP="00E65323">
            <w:pPr>
              <w:jc w:val="center"/>
              <w:rPr>
                <w:rFonts w:cs="Times New Roman"/>
                <w:lang w:val="en-US"/>
              </w:rPr>
            </w:pPr>
            <w:r w:rsidRPr="008173C7">
              <w:rPr>
                <w:rFonts w:cs="Times New Roman"/>
                <w:lang w:val="en-US"/>
              </w:rPr>
              <w:t>B</w:t>
            </w:r>
          </w:p>
        </w:tc>
        <w:tc>
          <w:tcPr>
            <w:tcW w:w="712" w:type="dxa"/>
            <w:shd w:val="clear" w:color="auto" w:fill="D9D9D9" w:themeFill="background1" w:themeFillShade="D9"/>
            <w:vAlign w:val="center"/>
          </w:tcPr>
          <w:p w14:paraId="22123449" w14:textId="77777777" w:rsidR="007D2A2A" w:rsidRPr="008173C7" w:rsidRDefault="007D2A2A" w:rsidP="00E65323">
            <w:pPr>
              <w:jc w:val="center"/>
              <w:rPr>
                <w:rFonts w:cs="Times New Roman"/>
                <w:lang w:val="en-US"/>
              </w:rPr>
            </w:pPr>
            <w:r w:rsidRPr="008173C7">
              <w:rPr>
                <w:rFonts w:cs="Times New Roman"/>
                <w:lang w:val="en-US"/>
              </w:rPr>
              <w:t>3</w:t>
            </w:r>
          </w:p>
        </w:tc>
        <w:tc>
          <w:tcPr>
            <w:tcW w:w="2632" w:type="dxa"/>
            <w:shd w:val="clear" w:color="auto" w:fill="D9D9D9" w:themeFill="background1" w:themeFillShade="D9"/>
            <w:vAlign w:val="center"/>
          </w:tcPr>
          <w:p w14:paraId="2F6C8872" w14:textId="77777777" w:rsidR="007D2A2A" w:rsidRPr="008173C7" w:rsidRDefault="007D2A2A" w:rsidP="00E65323">
            <w:pPr>
              <w:jc w:val="center"/>
              <w:rPr>
                <w:rFonts w:cs="Times New Roman"/>
                <w:lang w:val="en-US"/>
              </w:rPr>
            </w:pPr>
            <w:r w:rsidRPr="008173C7">
              <w:rPr>
                <w:rFonts w:cs="Times New Roman"/>
                <w:lang w:val="en-US"/>
              </w:rPr>
              <w:t>Some weaknesses in the message affect credibility (data and research design)</w:t>
            </w:r>
          </w:p>
        </w:tc>
        <w:tc>
          <w:tcPr>
            <w:tcW w:w="2268" w:type="dxa"/>
            <w:shd w:val="clear" w:color="auto" w:fill="D9D9D9" w:themeFill="background1" w:themeFillShade="D9"/>
            <w:vAlign w:val="center"/>
          </w:tcPr>
          <w:p w14:paraId="71BB5288" w14:textId="77777777" w:rsidR="007D2A2A" w:rsidRPr="008173C7" w:rsidRDefault="007D2A2A" w:rsidP="00E65323">
            <w:pPr>
              <w:jc w:val="center"/>
              <w:rPr>
                <w:rFonts w:cs="Times New Roman"/>
                <w:lang w:val="en-US"/>
              </w:rPr>
            </w:pPr>
          </w:p>
        </w:tc>
        <w:tc>
          <w:tcPr>
            <w:tcW w:w="2268" w:type="dxa"/>
            <w:shd w:val="clear" w:color="auto" w:fill="D9D9D9" w:themeFill="background1" w:themeFillShade="D9"/>
            <w:vAlign w:val="center"/>
          </w:tcPr>
          <w:p w14:paraId="3A5A126F" w14:textId="77777777" w:rsidR="007D2A2A" w:rsidRPr="008173C7" w:rsidRDefault="007D2A2A" w:rsidP="00E65323">
            <w:pPr>
              <w:jc w:val="center"/>
              <w:rPr>
                <w:rFonts w:cs="Times New Roman"/>
                <w:lang w:val="en-US"/>
              </w:rPr>
            </w:pPr>
          </w:p>
        </w:tc>
        <w:tc>
          <w:tcPr>
            <w:tcW w:w="2002" w:type="dxa"/>
            <w:shd w:val="clear" w:color="auto" w:fill="D9D9D9" w:themeFill="background1" w:themeFillShade="D9"/>
          </w:tcPr>
          <w:p w14:paraId="2C81FCE0" w14:textId="77777777" w:rsidR="007D2A2A" w:rsidRPr="008173C7" w:rsidRDefault="007D2A2A" w:rsidP="00E65323">
            <w:pPr>
              <w:jc w:val="center"/>
              <w:rPr>
                <w:rFonts w:cs="Times New Roman"/>
                <w:lang w:val="en-US"/>
              </w:rPr>
            </w:pPr>
          </w:p>
        </w:tc>
      </w:tr>
      <w:tr w:rsidR="00771BF6" w:rsidRPr="00921D03" w14:paraId="0E9EC5E9" w14:textId="77777777" w:rsidTr="006F04B4">
        <w:trPr>
          <w:jc w:val="center"/>
        </w:trPr>
        <w:tc>
          <w:tcPr>
            <w:tcW w:w="1210" w:type="dxa"/>
            <w:vAlign w:val="center"/>
          </w:tcPr>
          <w:p w14:paraId="47B31B68" w14:textId="77777777" w:rsidR="007D2A2A" w:rsidRPr="008173C7" w:rsidRDefault="007D2A2A" w:rsidP="00E65323">
            <w:pPr>
              <w:pStyle w:val="Paragraphedeliste"/>
              <w:ind w:left="0"/>
              <w:jc w:val="center"/>
              <w:rPr>
                <w:rFonts w:cs="Times New Roman"/>
                <w:lang w:val="en-US"/>
              </w:rPr>
            </w:pPr>
            <w:r w:rsidRPr="008173C7">
              <w:rPr>
                <w:rFonts w:cs="Times New Roman"/>
                <w:lang w:val="en-US"/>
              </w:rPr>
              <w:t>C</w:t>
            </w:r>
          </w:p>
        </w:tc>
        <w:tc>
          <w:tcPr>
            <w:tcW w:w="712" w:type="dxa"/>
            <w:vAlign w:val="center"/>
          </w:tcPr>
          <w:p w14:paraId="3D2F5147" w14:textId="77777777" w:rsidR="007D2A2A" w:rsidRPr="008173C7" w:rsidRDefault="007D2A2A" w:rsidP="00E65323">
            <w:pPr>
              <w:jc w:val="center"/>
              <w:rPr>
                <w:rFonts w:cs="Times New Roman"/>
                <w:lang w:val="en-US"/>
              </w:rPr>
            </w:pPr>
            <w:r w:rsidRPr="008173C7">
              <w:rPr>
                <w:rFonts w:cs="Times New Roman"/>
                <w:lang w:val="en-US"/>
              </w:rPr>
              <w:t>3</w:t>
            </w:r>
          </w:p>
        </w:tc>
        <w:tc>
          <w:tcPr>
            <w:tcW w:w="2632" w:type="dxa"/>
            <w:vAlign w:val="center"/>
          </w:tcPr>
          <w:p w14:paraId="5B4DEB3B" w14:textId="77777777" w:rsidR="007D2A2A" w:rsidRPr="008173C7" w:rsidRDefault="007D2A2A" w:rsidP="00E65323">
            <w:pPr>
              <w:jc w:val="center"/>
              <w:rPr>
                <w:rFonts w:cs="Times New Roman"/>
                <w:lang w:val="en-US"/>
              </w:rPr>
            </w:pPr>
            <w:r w:rsidRPr="008173C7">
              <w:rPr>
                <w:rFonts w:cs="Times New Roman"/>
                <w:lang w:val="en-US"/>
              </w:rPr>
              <w:t>INRA is not the main scientific referee, affects strength of messages</w:t>
            </w:r>
          </w:p>
        </w:tc>
        <w:tc>
          <w:tcPr>
            <w:tcW w:w="2268" w:type="dxa"/>
            <w:vAlign w:val="center"/>
          </w:tcPr>
          <w:p w14:paraId="5746197D" w14:textId="77777777" w:rsidR="007D2A2A" w:rsidRPr="008173C7" w:rsidRDefault="007D2A2A" w:rsidP="00E65323">
            <w:pPr>
              <w:jc w:val="center"/>
              <w:rPr>
                <w:rFonts w:cs="Times New Roman"/>
                <w:lang w:val="en-US"/>
              </w:rPr>
            </w:pPr>
          </w:p>
        </w:tc>
        <w:tc>
          <w:tcPr>
            <w:tcW w:w="2268" w:type="dxa"/>
            <w:vAlign w:val="center"/>
          </w:tcPr>
          <w:p w14:paraId="374CAF32" w14:textId="77777777" w:rsidR="007D2A2A" w:rsidRPr="008173C7" w:rsidRDefault="007D2A2A" w:rsidP="00E65323">
            <w:pPr>
              <w:jc w:val="center"/>
              <w:rPr>
                <w:rFonts w:cs="Times New Roman"/>
                <w:lang w:val="en-US"/>
              </w:rPr>
            </w:pPr>
          </w:p>
        </w:tc>
        <w:tc>
          <w:tcPr>
            <w:tcW w:w="2002" w:type="dxa"/>
          </w:tcPr>
          <w:p w14:paraId="13E9E264" w14:textId="77777777" w:rsidR="007D2A2A" w:rsidRPr="008173C7" w:rsidRDefault="007D2A2A" w:rsidP="00E65323">
            <w:pPr>
              <w:jc w:val="center"/>
              <w:rPr>
                <w:rFonts w:cs="Times New Roman"/>
                <w:lang w:val="en-US"/>
              </w:rPr>
            </w:pPr>
          </w:p>
        </w:tc>
      </w:tr>
      <w:tr w:rsidR="00771BF6" w:rsidRPr="00921D03" w14:paraId="39AF04AC" w14:textId="77777777" w:rsidTr="006F04B4">
        <w:trPr>
          <w:jc w:val="center"/>
        </w:trPr>
        <w:tc>
          <w:tcPr>
            <w:tcW w:w="1210" w:type="dxa"/>
            <w:tcBorders>
              <w:bottom w:val="single" w:sz="12" w:space="0" w:color="auto"/>
            </w:tcBorders>
            <w:shd w:val="clear" w:color="auto" w:fill="D9D9D9" w:themeFill="background1" w:themeFillShade="D9"/>
            <w:vAlign w:val="center"/>
          </w:tcPr>
          <w:p w14:paraId="7C1B3C3B" w14:textId="77777777" w:rsidR="007D2A2A" w:rsidRPr="008173C7" w:rsidRDefault="007D2A2A" w:rsidP="00E65323">
            <w:pPr>
              <w:jc w:val="center"/>
              <w:rPr>
                <w:rFonts w:cs="Times New Roman"/>
                <w:lang w:val="en-US"/>
              </w:rPr>
            </w:pPr>
            <w:r w:rsidRPr="008173C7">
              <w:rPr>
                <w:rFonts w:cs="Times New Roman"/>
                <w:lang w:val="en-US"/>
              </w:rPr>
              <w:t>D</w:t>
            </w:r>
          </w:p>
        </w:tc>
        <w:tc>
          <w:tcPr>
            <w:tcW w:w="712" w:type="dxa"/>
            <w:tcBorders>
              <w:bottom w:val="single" w:sz="12" w:space="0" w:color="auto"/>
            </w:tcBorders>
            <w:shd w:val="clear" w:color="auto" w:fill="D9D9D9" w:themeFill="background1" w:themeFillShade="D9"/>
            <w:vAlign w:val="center"/>
          </w:tcPr>
          <w:p w14:paraId="3BE2934D" w14:textId="77777777" w:rsidR="007D2A2A" w:rsidRPr="008173C7" w:rsidRDefault="007D2A2A" w:rsidP="00E65323">
            <w:pPr>
              <w:jc w:val="center"/>
              <w:rPr>
                <w:rFonts w:cs="Times New Roman"/>
                <w:lang w:val="en-US"/>
              </w:rPr>
            </w:pPr>
            <w:r w:rsidRPr="008173C7">
              <w:rPr>
                <w:rFonts w:cs="Times New Roman"/>
                <w:lang w:val="en-US"/>
              </w:rPr>
              <w:t>5</w:t>
            </w:r>
          </w:p>
        </w:tc>
        <w:tc>
          <w:tcPr>
            <w:tcW w:w="2632" w:type="dxa"/>
            <w:tcBorders>
              <w:bottom w:val="single" w:sz="12" w:space="0" w:color="auto"/>
            </w:tcBorders>
            <w:shd w:val="clear" w:color="auto" w:fill="D9D9D9" w:themeFill="background1" w:themeFillShade="D9"/>
            <w:vAlign w:val="center"/>
          </w:tcPr>
          <w:p w14:paraId="7E39D227" w14:textId="77777777" w:rsidR="007D2A2A" w:rsidRPr="008173C7" w:rsidRDefault="007D2A2A" w:rsidP="00E65323">
            <w:pPr>
              <w:jc w:val="center"/>
              <w:rPr>
                <w:rFonts w:cs="Times New Roman"/>
                <w:lang w:val="en-US"/>
              </w:rPr>
            </w:pPr>
          </w:p>
        </w:tc>
        <w:tc>
          <w:tcPr>
            <w:tcW w:w="2268" w:type="dxa"/>
            <w:tcBorders>
              <w:bottom w:val="single" w:sz="12" w:space="0" w:color="auto"/>
            </w:tcBorders>
            <w:shd w:val="clear" w:color="auto" w:fill="D9D9D9" w:themeFill="background1" w:themeFillShade="D9"/>
            <w:vAlign w:val="center"/>
          </w:tcPr>
          <w:p w14:paraId="0B401290" w14:textId="77777777" w:rsidR="007D2A2A" w:rsidRPr="008173C7" w:rsidRDefault="007D2A2A" w:rsidP="00E65323">
            <w:pPr>
              <w:jc w:val="center"/>
              <w:rPr>
                <w:rFonts w:cs="Times New Roman"/>
                <w:lang w:val="en-US"/>
              </w:rPr>
            </w:pPr>
            <w:r w:rsidRPr="008173C7">
              <w:rPr>
                <w:rFonts w:cs="Times New Roman"/>
                <w:lang w:val="en-US"/>
              </w:rPr>
              <w:t>Direct effect on a political window of opportunity</w:t>
            </w:r>
          </w:p>
        </w:tc>
        <w:tc>
          <w:tcPr>
            <w:tcW w:w="2268" w:type="dxa"/>
            <w:tcBorders>
              <w:bottom w:val="single" w:sz="12" w:space="0" w:color="auto"/>
            </w:tcBorders>
            <w:shd w:val="clear" w:color="auto" w:fill="D9D9D9" w:themeFill="background1" w:themeFillShade="D9"/>
            <w:vAlign w:val="center"/>
          </w:tcPr>
          <w:p w14:paraId="3414E379" w14:textId="77777777" w:rsidR="007D2A2A" w:rsidRPr="008173C7" w:rsidRDefault="007D2A2A" w:rsidP="00E65323">
            <w:pPr>
              <w:jc w:val="left"/>
              <w:rPr>
                <w:rFonts w:cs="Times New Roman"/>
                <w:lang w:val="en-US"/>
              </w:rPr>
            </w:pPr>
            <w:r w:rsidRPr="008173C7">
              <w:rPr>
                <w:rFonts w:cs="Times New Roman"/>
                <w:lang w:val="en-US"/>
              </w:rPr>
              <w:t>Intense media coverage to a large audience (policy, politic, citizens, private sector). Little distortion of messages</w:t>
            </w:r>
          </w:p>
        </w:tc>
        <w:tc>
          <w:tcPr>
            <w:tcW w:w="2002" w:type="dxa"/>
            <w:tcBorders>
              <w:bottom w:val="single" w:sz="12" w:space="0" w:color="auto"/>
            </w:tcBorders>
            <w:shd w:val="clear" w:color="auto" w:fill="D9D9D9" w:themeFill="background1" w:themeFillShade="D9"/>
          </w:tcPr>
          <w:p w14:paraId="20676589" w14:textId="77777777" w:rsidR="007D2A2A" w:rsidRPr="008173C7" w:rsidRDefault="007D2A2A" w:rsidP="00E65323">
            <w:pPr>
              <w:jc w:val="left"/>
              <w:rPr>
                <w:rFonts w:cs="Times New Roman"/>
                <w:lang w:val="en-US"/>
              </w:rPr>
            </w:pPr>
            <w:r w:rsidRPr="008173C7">
              <w:rPr>
                <w:rFonts w:cs="Times New Roman"/>
                <w:lang w:val="en-US"/>
              </w:rPr>
              <w:t>Large contribution of research to the debate beyond sectoral policy, at the national level (parliament)</w:t>
            </w:r>
          </w:p>
        </w:tc>
      </w:tr>
      <w:tr w:rsidR="00771BF6" w:rsidRPr="008173C7" w14:paraId="304265B2" w14:textId="77777777" w:rsidTr="006F04B4">
        <w:trPr>
          <w:jc w:val="center"/>
        </w:trPr>
        <w:tc>
          <w:tcPr>
            <w:tcW w:w="11092" w:type="dxa"/>
            <w:gridSpan w:val="6"/>
            <w:tcBorders>
              <w:top w:val="single" w:sz="12" w:space="0" w:color="auto"/>
              <w:bottom w:val="single" w:sz="8" w:space="0" w:color="auto"/>
            </w:tcBorders>
            <w:vAlign w:val="center"/>
          </w:tcPr>
          <w:p w14:paraId="0A531467" w14:textId="60DD01E8" w:rsidR="007D2A2A" w:rsidRPr="008173C7" w:rsidRDefault="007D2A2A" w:rsidP="00E65323">
            <w:pPr>
              <w:jc w:val="center"/>
              <w:rPr>
                <w:rFonts w:cs="Times New Roman"/>
                <w:lang w:val="en-US"/>
              </w:rPr>
            </w:pPr>
            <w:r w:rsidRPr="008173C7">
              <w:rPr>
                <w:rFonts w:cs="Times New Roman"/>
                <w:lang w:val="en-US"/>
              </w:rPr>
              <w:t xml:space="preserve">Case </w:t>
            </w:r>
            <w:r w:rsidRPr="008173C7">
              <w:rPr>
                <w:rFonts w:cs="Times New Roman"/>
                <w:i/>
                <w:lang w:val="en-US"/>
              </w:rPr>
              <w:t>Scientific Public Expe</w:t>
            </w:r>
            <w:r w:rsidR="00CD1316" w:rsidRPr="008173C7">
              <w:rPr>
                <w:rFonts w:cs="Times New Roman"/>
                <w:i/>
                <w:lang w:val="en-US"/>
              </w:rPr>
              <w:t>rtise on Pesticides (Pesticides</w:t>
            </w:r>
            <w:r w:rsidRPr="008173C7">
              <w:rPr>
                <w:rFonts w:cs="Times New Roman"/>
                <w:i/>
                <w:lang w:val="en-US"/>
              </w:rPr>
              <w:t>)</w:t>
            </w:r>
          </w:p>
        </w:tc>
      </w:tr>
      <w:tr w:rsidR="00771BF6" w:rsidRPr="00921D03" w14:paraId="424951CA" w14:textId="77777777" w:rsidTr="006F04B4">
        <w:trPr>
          <w:jc w:val="center"/>
        </w:trPr>
        <w:tc>
          <w:tcPr>
            <w:tcW w:w="1210" w:type="dxa"/>
            <w:tcBorders>
              <w:top w:val="single" w:sz="8" w:space="0" w:color="auto"/>
            </w:tcBorders>
            <w:vAlign w:val="center"/>
          </w:tcPr>
          <w:p w14:paraId="7E4432EE" w14:textId="77777777" w:rsidR="007D2A2A" w:rsidRPr="008173C7" w:rsidRDefault="007D2A2A" w:rsidP="00E65323">
            <w:pPr>
              <w:jc w:val="center"/>
              <w:rPr>
                <w:rFonts w:cs="Times New Roman"/>
                <w:lang w:val="en-US"/>
              </w:rPr>
            </w:pPr>
            <w:r w:rsidRPr="008173C7">
              <w:rPr>
                <w:rFonts w:cs="Times New Roman"/>
                <w:lang w:val="en-US"/>
              </w:rPr>
              <w:t>A</w:t>
            </w:r>
          </w:p>
        </w:tc>
        <w:tc>
          <w:tcPr>
            <w:tcW w:w="712" w:type="dxa"/>
            <w:tcBorders>
              <w:top w:val="single" w:sz="8" w:space="0" w:color="auto"/>
            </w:tcBorders>
            <w:vAlign w:val="center"/>
          </w:tcPr>
          <w:p w14:paraId="1962C96D" w14:textId="77777777" w:rsidR="007D2A2A" w:rsidRPr="008173C7" w:rsidRDefault="007D2A2A" w:rsidP="00E65323">
            <w:pPr>
              <w:jc w:val="center"/>
              <w:rPr>
                <w:rFonts w:cs="Times New Roman"/>
                <w:lang w:val="en-US"/>
              </w:rPr>
            </w:pPr>
            <w:r w:rsidRPr="008173C7">
              <w:rPr>
                <w:rFonts w:cs="Times New Roman"/>
                <w:lang w:val="en-US"/>
              </w:rPr>
              <w:t>4</w:t>
            </w:r>
          </w:p>
        </w:tc>
        <w:tc>
          <w:tcPr>
            <w:tcW w:w="2632" w:type="dxa"/>
            <w:tcBorders>
              <w:top w:val="single" w:sz="8" w:space="0" w:color="auto"/>
            </w:tcBorders>
            <w:vAlign w:val="center"/>
          </w:tcPr>
          <w:p w14:paraId="7DD622E6" w14:textId="77777777" w:rsidR="007D2A2A" w:rsidRPr="008173C7" w:rsidRDefault="007D2A2A" w:rsidP="00E65323">
            <w:pPr>
              <w:jc w:val="center"/>
              <w:rPr>
                <w:rFonts w:cs="Times New Roman"/>
                <w:lang w:val="en-US"/>
              </w:rPr>
            </w:pPr>
          </w:p>
        </w:tc>
        <w:tc>
          <w:tcPr>
            <w:tcW w:w="2268" w:type="dxa"/>
            <w:tcBorders>
              <w:top w:val="single" w:sz="8" w:space="0" w:color="auto"/>
            </w:tcBorders>
            <w:vAlign w:val="center"/>
          </w:tcPr>
          <w:p w14:paraId="1B05DCA0" w14:textId="77777777" w:rsidR="007D2A2A" w:rsidRPr="008173C7" w:rsidRDefault="007D2A2A" w:rsidP="00E65323">
            <w:pPr>
              <w:jc w:val="center"/>
              <w:rPr>
                <w:rFonts w:cs="Times New Roman"/>
                <w:lang w:val="en-US"/>
              </w:rPr>
            </w:pPr>
          </w:p>
        </w:tc>
        <w:tc>
          <w:tcPr>
            <w:tcW w:w="2268" w:type="dxa"/>
            <w:tcBorders>
              <w:top w:val="single" w:sz="8" w:space="0" w:color="auto"/>
            </w:tcBorders>
            <w:vAlign w:val="center"/>
          </w:tcPr>
          <w:p w14:paraId="4AED9E65" w14:textId="77777777" w:rsidR="007D2A2A" w:rsidRPr="008173C7" w:rsidRDefault="007D2A2A" w:rsidP="00E65323">
            <w:pPr>
              <w:jc w:val="left"/>
              <w:rPr>
                <w:rFonts w:cs="Times New Roman"/>
                <w:lang w:val="en-US"/>
              </w:rPr>
            </w:pPr>
            <w:r w:rsidRPr="008173C7">
              <w:rPr>
                <w:rFonts w:cs="Times New Roman"/>
                <w:lang w:val="en-US"/>
              </w:rPr>
              <w:t xml:space="preserve">Very intense media coverage in </w:t>
            </w:r>
            <w:r w:rsidR="00996799" w:rsidRPr="008173C7">
              <w:rPr>
                <w:rFonts w:cs="Times New Roman"/>
                <w:lang w:val="en-US"/>
              </w:rPr>
              <w:t xml:space="preserve">the </w:t>
            </w:r>
            <w:r w:rsidRPr="008173C7">
              <w:rPr>
                <w:rFonts w:cs="Times New Roman"/>
                <w:lang w:val="en-US"/>
              </w:rPr>
              <w:t xml:space="preserve">technical sphere, less </w:t>
            </w:r>
            <w:r w:rsidR="00996799" w:rsidRPr="008173C7">
              <w:rPr>
                <w:rFonts w:cs="Times New Roman"/>
                <w:lang w:val="en-US"/>
              </w:rPr>
              <w:t xml:space="preserve">intense for the </w:t>
            </w:r>
            <w:r w:rsidRPr="008173C7">
              <w:rPr>
                <w:rFonts w:cs="Times New Roman"/>
                <w:lang w:val="en-US"/>
              </w:rPr>
              <w:t>public</w:t>
            </w:r>
            <w:r w:rsidR="00996799" w:rsidRPr="008173C7">
              <w:rPr>
                <w:rFonts w:cs="Times New Roman"/>
                <w:lang w:val="en-US"/>
              </w:rPr>
              <w:t xml:space="preserve"> sphere</w:t>
            </w:r>
          </w:p>
        </w:tc>
        <w:tc>
          <w:tcPr>
            <w:tcW w:w="2002" w:type="dxa"/>
            <w:tcBorders>
              <w:top w:val="single" w:sz="8" w:space="0" w:color="auto"/>
            </w:tcBorders>
          </w:tcPr>
          <w:p w14:paraId="18E27258" w14:textId="77777777" w:rsidR="007D2A2A" w:rsidRPr="008173C7" w:rsidRDefault="007D2A2A" w:rsidP="00E65323">
            <w:pPr>
              <w:jc w:val="center"/>
              <w:rPr>
                <w:rFonts w:cs="Times New Roman"/>
                <w:lang w:val="en-US"/>
              </w:rPr>
            </w:pPr>
            <w:r w:rsidRPr="008173C7">
              <w:rPr>
                <w:rFonts w:cs="Times New Roman"/>
                <w:lang w:val="en-US"/>
              </w:rPr>
              <w:t>Intense use in policy debate</w:t>
            </w:r>
          </w:p>
        </w:tc>
      </w:tr>
      <w:tr w:rsidR="00771BF6" w:rsidRPr="008173C7" w14:paraId="6BFF83B3" w14:textId="77777777" w:rsidTr="006F04B4">
        <w:trPr>
          <w:jc w:val="center"/>
        </w:trPr>
        <w:tc>
          <w:tcPr>
            <w:tcW w:w="1210" w:type="dxa"/>
            <w:shd w:val="clear" w:color="auto" w:fill="D9D9D9" w:themeFill="background1" w:themeFillShade="D9"/>
            <w:vAlign w:val="center"/>
          </w:tcPr>
          <w:p w14:paraId="11D39897" w14:textId="77777777" w:rsidR="007D2A2A" w:rsidRPr="008173C7" w:rsidRDefault="007D2A2A" w:rsidP="00E65323">
            <w:pPr>
              <w:jc w:val="center"/>
              <w:rPr>
                <w:rFonts w:cs="Times New Roman"/>
                <w:lang w:val="en-US"/>
              </w:rPr>
            </w:pPr>
            <w:r w:rsidRPr="008173C7">
              <w:rPr>
                <w:rFonts w:cs="Times New Roman"/>
                <w:lang w:val="en-US"/>
              </w:rPr>
              <w:t>B</w:t>
            </w:r>
          </w:p>
        </w:tc>
        <w:tc>
          <w:tcPr>
            <w:tcW w:w="712" w:type="dxa"/>
            <w:shd w:val="clear" w:color="auto" w:fill="D9D9D9" w:themeFill="background1" w:themeFillShade="D9"/>
            <w:vAlign w:val="center"/>
          </w:tcPr>
          <w:p w14:paraId="7D918309" w14:textId="77777777" w:rsidR="007D2A2A" w:rsidRPr="008173C7" w:rsidRDefault="007D2A2A" w:rsidP="00E65323">
            <w:pPr>
              <w:jc w:val="center"/>
              <w:rPr>
                <w:rFonts w:cs="Times New Roman"/>
                <w:lang w:val="en-US"/>
              </w:rPr>
            </w:pPr>
            <w:r w:rsidRPr="008173C7">
              <w:rPr>
                <w:rFonts w:cs="Times New Roman"/>
                <w:lang w:val="en-US"/>
              </w:rPr>
              <w:t>4</w:t>
            </w:r>
          </w:p>
        </w:tc>
        <w:tc>
          <w:tcPr>
            <w:tcW w:w="2632" w:type="dxa"/>
            <w:shd w:val="clear" w:color="auto" w:fill="D9D9D9" w:themeFill="background1" w:themeFillShade="D9"/>
            <w:vAlign w:val="center"/>
          </w:tcPr>
          <w:p w14:paraId="525CFA96" w14:textId="77777777" w:rsidR="007D2A2A" w:rsidRPr="008173C7" w:rsidRDefault="007D2A2A" w:rsidP="00E65323">
            <w:pPr>
              <w:jc w:val="center"/>
              <w:rPr>
                <w:rFonts w:cs="Times New Roman"/>
                <w:lang w:val="en-US"/>
              </w:rPr>
            </w:pPr>
            <w:r w:rsidRPr="008173C7">
              <w:rPr>
                <w:rFonts w:cs="Times New Roman"/>
                <w:lang w:val="en-US"/>
              </w:rPr>
              <w:t>Strong credibility of messages, supported by political scientific referee</w:t>
            </w:r>
          </w:p>
        </w:tc>
        <w:tc>
          <w:tcPr>
            <w:tcW w:w="2268" w:type="dxa"/>
            <w:shd w:val="clear" w:color="auto" w:fill="D9D9D9" w:themeFill="background1" w:themeFillShade="D9"/>
            <w:vAlign w:val="center"/>
          </w:tcPr>
          <w:p w14:paraId="54063252" w14:textId="77777777" w:rsidR="007D2A2A" w:rsidRPr="008173C7" w:rsidRDefault="007D2A2A" w:rsidP="00E65323">
            <w:pPr>
              <w:jc w:val="center"/>
              <w:rPr>
                <w:rFonts w:cs="Times New Roman"/>
                <w:lang w:val="en-US"/>
              </w:rPr>
            </w:pPr>
          </w:p>
        </w:tc>
        <w:tc>
          <w:tcPr>
            <w:tcW w:w="2268" w:type="dxa"/>
            <w:shd w:val="clear" w:color="auto" w:fill="D9D9D9" w:themeFill="background1" w:themeFillShade="D9"/>
            <w:vAlign w:val="center"/>
          </w:tcPr>
          <w:p w14:paraId="0CC547DD" w14:textId="77777777" w:rsidR="007D2A2A" w:rsidRPr="008173C7" w:rsidRDefault="007D2A2A" w:rsidP="00E65323">
            <w:pPr>
              <w:jc w:val="center"/>
              <w:rPr>
                <w:rFonts w:cs="Times New Roman"/>
                <w:lang w:val="en-US"/>
              </w:rPr>
            </w:pPr>
          </w:p>
        </w:tc>
        <w:tc>
          <w:tcPr>
            <w:tcW w:w="2002" w:type="dxa"/>
            <w:shd w:val="clear" w:color="auto" w:fill="D9D9D9" w:themeFill="background1" w:themeFillShade="D9"/>
          </w:tcPr>
          <w:p w14:paraId="0762951F" w14:textId="77777777" w:rsidR="007D2A2A" w:rsidRPr="008173C7" w:rsidRDefault="007D2A2A" w:rsidP="00E65323">
            <w:pPr>
              <w:jc w:val="center"/>
              <w:rPr>
                <w:rFonts w:cs="Times New Roman"/>
                <w:lang w:val="en-US"/>
              </w:rPr>
            </w:pPr>
            <w:r w:rsidRPr="008173C7">
              <w:rPr>
                <w:rFonts w:cs="Times New Roman"/>
                <w:lang w:val="en-US"/>
              </w:rPr>
              <w:t>Large contribution of research in shaping debate. Messages understood and relayed.</w:t>
            </w:r>
          </w:p>
        </w:tc>
      </w:tr>
      <w:tr w:rsidR="00771BF6" w:rsidRPr="00921D03" w14:paraId="65C8007A" w14:textId="77777777" w:rsidTr="006F04B4">
        <w:trPr>
          <w:jc w:val="center"/>
        </w:trPr>
        <w:tc>
          <w:tcPr>
            <w:tcW w:w="1210" w:type="dxa"/>
            <w:vAlign w:val="center"/>
          </w:tcPr>
          <w:p w14:paraId="446C6822" w14:textId="77777777" w:rsidR="007D2A2A" w:rsidRPr="008173C7" w:rsidRDefault="007D2A2A" w:rsidP="00E65323">
            <w:pPr>
              <w:jc w:val="center"/>
              <w:rPr>
                <w:rFonts w:cs="Times New Roman"/>
                <w:lang w:val="en-US"/>
              </w:rPr>
            </w:pPr>
            <w:r w:rsidRPr="008173C7">
              <w:rPr>
                <w:rFonts w:cs="Times New Roman"/>
                <w:lang w:val="en-US"/>
              </w:rPr>
              <w:t>C</w:t>
            </w:r>
          </w:p>
        </w:tc>
        <w:tc>
          <w:tcPr>
            <w:tcW w:w="712" w:type="dxa"/>
            <w:vAlign w:val="center"/>
          </w:tcPr>
          <w:p w14:paraId="0DE3AECE" w14:textId="77777777" w:rsidR="007D2A2A" w:rsidRPr="008173C7" w:rsidRDefault="007D2A2A" w:rsidP="00E65323">
            <w:pPr>
              <w:jc w:val="center"/>
              <w:rPr>
                <w:rFonts w:cs="Times New Roman"/>
                <w:lang w:val="en-US"/>
              </w:rPr>
            </w:pPr>
            <w:r w:rsidRPr="008173C7">
              <w:rPr>
                <w:rFonts w:cs="Times New Roman"/>
                <w:lang w:val="en-US"/>
              </w:rPr>
              <w:t>4</w:t>
            </w:r>
          </w:p>
        </w:tc>
        <w:tc>
          <w:tcPr>
            <w:tcW w:w="2632" w:type="dxa"/>
            <w:vAlign w:val="center"/>
          </w:tcPr>
          <w:p w14:paraId="72B5CF21" w14:textId="77777777" w:rsidR="007D2A2A" w:rsidRPr="008173C7" w:rsidRDefault="007D2A2A" w:rsidP="00E65323">
            <w:pPr>
              <w:jc w:val="center"/>
              <w:rPr>
                <w:rFonts w:cs="Times New Roman"/>
                <w:lang w:val="en-US"/>
              </w:rPr>
            </w:pPr>
            <w:r w:rsidRPr="008173C7">
              <w:rPr>
                <w:rFonts w:cs="Times New Roman"/>
                <w:lang w:val="en-US"/>
              </w:rPr>
              <w:t>Some policy recommendations are new</w:t>
            </w:r>
          </w:p>
        </w:tc>
        <w:tc>
          <w:tcPr>
            <w:tcW w:w="2268" w:type="dxa"/>
            <w:vAlign w:val="center"/>
          </w:tcPr>
          <w:p w14:paraId="43D80AF7" w14:textId="77777777" w:rsidR="007D2A2A" w:rsidRPr="008173C7" w:rsidRDefault="007D2A2A" w:rsidP="00E65323">
            <w:pPr>
              <w:jc w:val="center"/>
              <w:rPr>
                <w:rFonts w:cs="Times New Roman"/>
                <w:lang w:val="en-US"/>
              </w:rPr>
            </w:pPr>
            <w:r w:rsidRPr="008173C7">
              <w:rPr>
                <w:rFonts w:cs="Times New Roman"/>
                <w:lang w:val="en-US"/>
              </w:rPr>
              <w:t>Mostly national sectoral policy windows. Missed some windows of opportunity</w:t>
            </w:r>
          </w:p>
        </w:tc>
        <w:tc>
          <w:tcPr>
            <w:tcW w:w="2268" w:type="dxa"/>
            <w:vAlign w:val="center"/>
          </w:tcPr>
          <w:p w14:paraId="522987D0" w14:textId="77777777" w:rsidR="007D2A2A" w:rsidRPr="008173C7" w:rsidRDefault="007D2A2A" w:rsidP="00E65323">
            <w:pPr>
              <w:jc w:val="center"/>
              <w:rPr>
                <w:rFonts w:cs="Times New Roman"/>
                <w:lang w:val="en-US"/>
              </w:rPr>
            </w:pPr>
            <w:r w:rsidRPr="008173C7">
              <w:rPr>
                <w:rFonts w:cs="Times New Roman"/>
                <w:lang w:val="en-US"/>
              </w:rPr>
              <w:t>Intense media coverage. A few messages were not relayed</w:t>
            </w:r>
          </w:p>
        </w:tc>
        <w:tc>
          <w:tcPr>
            <w:tcW w:w="2002" w:type="dxa"/>
          </w:tcPr>
          <w:p w14:paraId="1E4C077D" w14:textId="77777777" w:rsidR="007D2A2A" w:rsidRPr="008173C7" w:rsidRDefault="007D2A2A" w:rsidP="00E65323">
            <w:pPr>
              <w:jc w:val="center"/>
              <w:rPr>
                <w:rFonts w:cs="Times New Roman"/>
                <w:lang w:val="en-US"/>
              </w:rPr>
            </w:pPr>
          </w:p>
        </w:tc>
      </w:tr>
      <w:tr w:rsidR="00771BF6" w:rsidRPr="00921D03" w14:paraId="035DEB01" w14:textId="77777777" w:rsidTr="006F04B4">
        <w:trPr>
          <w:jc w:val="center"/>
        </w:trPr>
        <w:tc>
          <w:tcPr>
            <w:tcW w:w="1210" w:type="dxa"/>
            <w:shd w:val="clear" w:color="auto" w:fill="D9D9D9" w:themeFill="background1" w:themeFillShade="D9"/>
            <w:vAlign w:val="center"/>
          </w:tcPr>
          <w:p w14:paraId="44C73FC2" w14:textId="77777777" w:rsidR="007D2A2A" w:rsidRPr="008173C7" w:rsidRDefault="007D2A2A" w:rsidP="00E65323">
            <w:pPr>
              <w:jc w:val="center"/>
              <w:rPr>
                <w:rFonts w:cs="Times New Roman"/>
                <w:lang w:val="en-US"/>
              </w:rPr>
            </w:pPr>
            <w:r w:rsidRPr="008173C7">
              <w:rPr>
                <w:rFonts w:cs="Times New Roman"/>
                <w:lang w:val="en-US"/>
              </w:rPr>
              <w:t>D</w:t>
            </w:r>
          </w:p>
        </w:tc>
        <w:tc>
          <w:tcPr>
            <w:tcW w:w="712" w:type="dxa"/>
            <w:shd w:val="clear" w:color="auto" w:fill="D9D9D9" w:themeFill="background1" w:themeFillShade="D9"/>
            <w:vAlign w:val="center"/>
          </w:tcPr>
          <w:p w14:paraId="2AE5BD7C" w14:textId="77777777" w:rsidR="007D2A2A" w:rsidRPr="008173C7" w:rsidRDefault="007D2A2A" w:rsidP="00E65323">
            <w:pPr>
              <w:jc w:val="center"/>
              <w:rPr>
                <w:rFonts w:cs="Times New Roman"/>
                <w:lang w:val="en-US"/>
              </w:rPr>
            </w:pPr>
            <w:r w:rsidRPr="008173C7">
              <w:rPr>
                <w:rFonts w:cs="Times New Roman"/>
                <w:lang w:val="en-US"/>
              </w:rPr>
              <w:t>3</w:t>
            </w:r>
          </w:p>
        </w:tc>
        <w:tc>
          <w:tcPr>
            <w:tcW w:w="2632" w:type="dxa"/>
            <w:shd w:val="clear" w:color="auto" w:fill="D9D9D9" w:themeFill="background1" w:themeFillShade="D9"/>
            <w:vAlign w:val="center"/>
          </w:tcPr>
          <w:p w14:paraId="4AA306E0" w14:textId="77777777" w:rsidR="007D2A2A" w:rsidRPr="008173C7" w:rsidRDefault="007D2A2A" w:rsidP="00E65323">
            <w:pPr>
              <w:jc w:val="center"/>
              <w:rPr>
                <w:rFonts w:cs="Times New Roman"/>
                <w:lang w:val="en-US"/>
              </w:rPr>
            </w:pPr>
            <w:r w:rsidRPr="008173C7">
              <w:rPr>
                <w:rFonts w:cs="Times New Roman"/>
                <w:lang w:val="en-US"/>
              </w:rPr>
              <w:t>Presentation of scientific state of the art. Nothing really new</w:t>
            </w:r>
          </w:p>
        </w:tc>
        <w:tc>
          <w:tcPr>
            <w:tcW w:w="2268" w:type="dxa"/>
            <w:shd w:val="clear" w:color="auto" w:fill="D9D9D9" w:themeFill="background1" w:themeFillShade="D9"/>
            <w:vAlign w:val="center"/>
          </w:tcPr>
          <w:p w14:paraId="6B4BAE7E" w14:textId="77777777" w:rsidR="007D2A2A" w:rsidRPr="008173C7" w:rsidRDefault="007D2A2A" w:rsidP="00E65323">
            <w:pPr>
              <w:jc w:val="center"/>
              <w:rPr>
                <w:rFonts w:cs="Times New Roman"/>
                <w:lang w:val="en-US"/>
              </w:rPr>
            </w:pPr>
          </w:p>
        </w:tc>
        <w:tc>
          <w:tcPr>
            <w:tcW w:w="2268" w:type="dxa"/>
            <w:shd w:val="clear" w:color="auto" w:fill="D9D9D9" w:themeFill="background1" w:themeFillShade="D9"/>
            <w:vAlign w:val="center"/>
          </w:tcPr>
          <w:p w14:paraId="5171FFEC" w14:textId="77777777" w:rsidR="007D2A2A" w:rsidRPr="008173C7" w:rsidRDefault="007D2A2A" w:rsidP="00E65323">
            <w:pPr>
              <w:jc w:val="left"/>
              <w:rPr>
                <w:rFonts w:cs="Times New Roman"/>
                <w:lang w:val="en-US"/>
              </w:rPr>
            </w:pPr>
            <w:r w:rsidRPr="008173C7">
              <w:rPr>
                <w:rFonts w:cs="Times New Roman"/>
                <w:lang w:val="en-US"/>
              </w:rPr>
              <w:t>Large intensity of media coverage</w:t>
            </w:r>
          </w:p>
        </w:tc>
        <w:tc>
          <w:tcPr>
            <w:tcW w:w="2002" w:type="dxa"/>
            <w:shd w:val="clear" w:color="auto" w:fill="D9D9D9" w:themeFill="background1" w:themeFillShade="D9"/>
          </w:tcPr>
          <w:p w14:paraId="1D73ED28" w14:textId="77777777" w:rsidR="007D2A2A" w:rsidRPr="008173C7" w:rsidRDefault="007D2A2A" w:rsidP="00E65323">
            <w:pPr>
              <w:jc w:val="center"/>
              <w:rPr>
                <w:rFonts w:cs="Times New Roman"/>
                <w:lang w:val="en-US"/>
              </w:rPr>
            </w:pPr>
            <w:r w:rsidRPr="008173C7">
              <w:rPr>
                <w:rFonts w:cs="Times New Roman"/>
                <w:lang w:val="en-US"/>
              </w:rPr>
              <w:t>Policy debate largely used information, however a few messages were not used, or distorted</w:t>
            </w:r>
          </w:p>
        </w:tc>
      </w:tr>
      <w:tr w:rsidR="00771BF6" w:rsidRPr="00921D03" w14:paraId="294A0AC2" w14:textId="77777777" w:rsidTr="006F04B4">
        <w:trPr>
          <w:jc w:val="center"/>
        </w:trPr>
        <w:tc>
          <w:tcPr>
            <w:tcW w:w="11092" w:type="dxa"/>
            <w:gridSpan w:val="6"/>
            <w:tcBorders>
              <w:top w:val="single" w:sz="18" w:space="0" w:color="auto"/>
              <w:bottom w:val="single" w:sz="2" w:space="0" w:color="auto"/>
            </w:tcBorders>
            <w:shd w:val="clear" w:color="auto" w:fill="FFFFFF" w:themeFill="background1"/>
            <w:vAlign w:val="center"/>
          </w:tcPr>
          <w:p w14:paraId="450D462D" w14:textId="305C08FE" w:rsidR="007D2A2A" w:rsidRPr="008173C7" w:rsidRDefault="007D2A2A" w:rsidP="00E65323">
            <w:pPr>
              <w:jc w:val="center"/>
              <w:rPr>
                <w:rFonts w:cs="Times New Roman"/>
                <w:lang w:val="en-US"/>
              </w:rPr>
            </w:pPr>
            <w:r w:rsidRPr="008173C7">
              <w:rPr>
                <w:rFonts w:cs="Times New Roman"/>
                <w:lang w:val="en-US"/>
              </w:rPr>
              <w:t xml:space="preserve">Case </w:t>
            </w:r>
            <w:r w:rsidRPr="00C007CE">
              <w:rPr>
                <w:rFonts w:cs="Times New Roman"/>
                <w:i/>
                <w:lang w:val="en-US"/>
              </w:rPr>
              <w:t xml:space="preserve">Genetic fight against </w:t>
            </w:r>
            <w:r w:rsidR="00996799" w:rsidRPr="00C007CE">
              <w:rPr>
                <w:rFonts w:cs="Times New Roman"/>
                <w:i/>
                <w:lang w:val="en-US"/>
              </w:rPr>
              <w:t>s</w:t>
            </w:r>
            <w:r w:rsidRPr="00C007CE">
              <w:rPr>
                <w:rFonts w:cs="Times New Roman"/>
                <w:i/>
                <w:lang w:val="en-US"/>
              </w:rPr>
              <w:t>crapie</w:t>
            </w:r>
            <w:r w:rsidR="001806EA" w:rsidRPr="00C007CE">
              <w:rPr>
                <w:rFonts w:cs="Times New Roman"/>
                <w:i/>
                <w:lang w:val="en-US"/>
              </w:rPr>
              <w:t xml:space="preserve"> (Scrapie)</w:t>
            </w:r>
          </w:p>
        </w:tc>
      </w:tr>
      <w:tr w:rsidR="00771BF6" w:rsidRPr="00921D03" w14:paraId="3FA7B3A7" w14:textId="77777777" w:rsidTr="006F04B4">
        <w:trPr>
          <w:jc w:val="center"/>
        </w:trPr>
        <w:tc>
          <w:tcPr>
            <w:tcW w:w="1210" w:type="dxa"/>
            <w:tcBorders>
              <w:top w:val="single" w:sz="2" w:space="0" w:color="auto"/>
            </w:tcBorders>
            <w:shd w:val="clear" w:color="auto" w:fill="FFFFFF" w:themeFill="background1"/>
            <w:vAlign w:val="center"/>
          </w:tcPr>
          <w:p w14:paraId="188B8939" w14:textId="77777777" w:rsidR="007D2A2A" w:rsidRPr="008173C7" w:rsidRDefault="007D2A2A" w:rsidP="00E65323">
            <w:pPr>
              <w:jc w:val="center"/>
              <w:rPr>
                <w:rFonts w:cs="Times New Roman"/>
                <w:lang w:val="en-US"/>
              </w:rPr>
            </w:pPr>
            <w:r w:rsidRPr="008173C7">
              <w:rPr>
                <w:rFonts w:cs="Times New Roman"/>
                <w:lang w:val="en-US"/>
              </w:rPr>
              <w:t>A</w:t>
            </w:r>
          </w:p>
        </w:tc>
        <w:tc>
          <w:tcPr>
            <w:tcW w:w="712" w:type="dxa"/>
            <w:tcBorders>
              <w:top w:val="single" w:sz="2" w:space="0" w:color="auto"/>
            </w:tcBorders>
            <w:shd w:val="clear" w:color="auto" w:fill="FFFFFF" w:themeFill="background1"/>
            <w:vAlign w:val="center"/>
          </w:tcPr>
          <w:p w14:paraId="3C1C13E4" w14:textId="77777777" w:rsidR="007D2A2A" w:rsidRPr="008173C7" w:rsidRDefault="007D2A2A" w:rsidP="00E65323">
            <w:pPr>
              <w:jc w:val="center"/>
              <w:rPr>
                <w:rFonts w:cs="Times New Roman"/>
                <w:lang w:val="en-US"/>
              </w:rPr>
            </w:pPr>
            <w:r w:rsidRPr="008173C7">
              <w:rPr>
                <w:rFonts w:cs="Times New Roman"/>
                <w:lang w:val="en-US"/>
              </w:rPr>
              <w:t>3</w:t>
            </w:r>
          </w:p>
        </w:tc>
        <w:tc>
          <w:tcPr>
            <w:tcW w:w="2632" w:type="dxa"/>
            <w:tcBorders>
              <w:top w:val="single" w:sz="2" w:space="0" w:color="auto"/>
            </w:tcBorders>
            <w:shd w:val="clear" w:color="auto" w:fill="FFFFFF" w:themeFill="background1"/>
            <w:vAlign w:val="center"/>
          </w:tcPr>
          <w:p w14:paraId="1C33F6E9" w14:textId="77777777" w:rsidR="007D2A2A" w:rsidRPr="008173C7" w:rsidRDefault="007D2A2A" w:rsidP="00E65323">
            <w:pPr>
              <w:jc w:val="center"/>
              <w:rPr>
                <w:rFonts w:cs="Times New Roman"/>
                <w:lang w:val="en-US"/>
              </w:rPr>
            </w:pPr>
          </w:p>
        </w:tc>
        <w:tc>
          <w:tcPr>
            <w:tcW w:w="2268" w:type="dxa"/>
            <w:tcBorders>
              <w:top w:val="single" w:sz="2" w:space="0" w:color="auto"/>
            </w:tcBorders>
            <w:shd w:val="clear" w:color="auto" w:fill="FFFFFF" w:themeFill="background1"/>
            <w:vAlign w:val="center"/>
          </w:tcPr>
          <w:p w14:paraId="1093FD66" w14:textId="77777777" w:rsidR="007D2A2A" w:rsidRPr="008173C7" w:rsidRDefault="007D2A2A" w:rsidP="00E65323">
            <w:pPr>
              <w:jc w:val="center"/>
              <w:rPr>
                <w:rFonts w:cs="Times New Roman"/>
                <w:lang w:val="en-US"/>
              </w:rPr>
            </w:pPr>
          </w:p>
        </w:tc>
        <w:tc>
          <w:tcPr>
            <w:tcW w:w="2268" w:type="dxa"/>
            <w:tcBorders>
              <w:top w:val="single" w:sz="2" w:space="0" w:color="auto"/>
            </w:tcBorders>
            <w:shd w:val="clear" w:color="auto" w:fill="FFFFFF" w:themeFill="background1"/>
            <w:vAlign w:val="center"/>
          </w:tcPr>
          <w:p w14:paraId="186CE0BD" w14:textId="77777777" w:rsidR="007D2A2A" w:rsidRPr="008173C7" w:rsidRDefault="007D2A2A" w:rsidP="00E65323">
            <w:pPr>
              <w:jc w:val="left"/>
              <w:rPr>
                <w:rFonts w:cs="Times New Roman"/>
                <w:lang w:val="en-US"/>
              </w:rPr>
            </w:pPr>
            <w:r w:rsidRPr="008173C7">
              <w:rPr>
                <w:rFonts w:cs="Times New Roman"/>
                <w:lang w:val="en-US"/>
              </w:rPr>
              <w:t>Mostly technical media coverage, little mainstream coverage towards general public</w:t>
            </w:r>
          </w:p>
        </w:tc>
        <w:tc>
          <w:tcPr>
            <w:tcW w:w="2002" w:type="dxa"/>
            <w:tcBorders>
              <w:top w:val="single" w:sz="2" w:space="0" w:color="auto"/>
            </w:tcBorders>
            <w:shd w:val="clear" w:color="auto" w:fill="FFFFFF" w:themeFill="background1"/>
          </w:tcPr>
          <w:p w14:paraId="23F66C5B" w14:textId="77777777" w:rsidR="007D2A2A" w:rsidRPr="008173C7" w:rsidRDefault="007D2A2A" w:rsidP="00E65323">
            <w:pPr>
              <w:jc w:val="center"/>
              <w:rPr>
                <w:rFonts w:cs="Times New Roman"/>
                <w:lang w:val="en-US"/>
              </w:rPr>
            </w:pPr>
            <w:r w:rsidRPr="008173C7">
              <w:rPr>
                <w:rFonts w:cs="Times New Roman"/>
                <w:lang w:val="en-US"/>
              </w:rPr>
              <w:t>Contribution of research reduced tension in debate for sectoral policies</w:t>
            </w:r>
          </w:p>
        </w:tc>
      </w:tr>
      <w:tr w:rsidR="00771BF6" w:rsidRPr="008173C7" w14:paraId="1E10AA10" w14:textId="77777777" w:rsidTr="006F04B4">
        <w:trPr>
          <w:jc w:val="center"/>
        </w:trPr>
        <w:tc>
          <w:tcPr>
            <w:tcW w:w="1210" w:type="dxa"/>
            <w:shd w:val="clear" w:color="auto" w:fill="D9D9D9" w:themeFill="background1" w:themeFillShade="D9"/>
            <w:vAlign w:val="center"/>
          </w:tcPr>
          <w:p w14:paraId="1FA3EA48" w14:textId="77777777" w:rsidR="007D2A2A" w:rsidRPr="008173C7" w:rsidRDefault="007D2A2A" w:rsidP="00E65323">
            <w:pPr>
              <w:jc w:val="center"/>
              <w:rPr>
                <w:rFonts w:cs="Times New Roman"/>
                <w:lang w:val="en-US"/>
              </w:rPr>
            </w:pPr>
            <w:r w:rsidRPr="008173C7">
              <w:rPr>
                <w:rFonts w:cs="Times New Roman"/>
                <w:lang w:val="en-US"/>
              </w:rPr>
              <w:t>B</w:t>
            </w:r>
          </w:p>
        </w:tc>
        <w:tc>
          <w:tcPr>
            <w:tcW w:w="712" w:type="dxa"/>
            <w:shd w:val="clear" w:color="auto" w:fill="D9D9D9" w:themeFill="background1" w:themeFillShade="D9"/>
            <w:vAlign w:val="center"/>
          </w:tcPr>
          <w:p w14:paraId="6E5F931C" w14:textId="77777777" w:rsidR="007D2A2A" w:rsidRPr="008173C7" w:rsidRDefault="007D2A2A" w:rsidP="00E65323">
            <w:pPr>
              <w:jc w:val="center"/>
              <w:rPr>
                <w:rFonts w:cs="Times New Roman"/>
                <w:lang w:val="en-US"/>
              </w:rPr>
            </w:pPr>
            <w:r w:rsidRPr="008173C7">
              <w:rPr>
                <w:rFonts w:cs="Times New Roman"/>
                <w:lang w:val="en-US"/>
              </w:rPr>
              <w:t>3</w:t>
            </w:r>
          </w:p>
        </w:tc>
        <w:tc>
          <w:tcPr>
            <w:tcW w:w="2632" w:type="dxa"/>
            <w:shd w:val="clear" w:color="auto" w:fill="D9D9D9" w:themeFill="background1" w:themeFillShade="D9"/>
            <w:vAlign w:val="center"/>
          </w:tcPr>
          <w:p w14:paraId="639B99E6" w14:textId="77777777" w:rsidR="007D2A2A" w:rsidRPr="008173C7" w:rsidRDefault="007D2A2A" w:rsidP="00E65323">
            <w:pPr>
              <w:jc w:val="center"/>
              <w:rPr>
                <w:rFonts w:cs="Times New Roman"/>
                <w:lang w:val="en-US"/>
              </w:rPr>
            </w:pPr>
          </w:p>
        </w:tc>
        <w:tc>
          <w:tcPr>
            <w:tcW w:w="2268" w:type="dxa"/>
            <w:shd w:val="clear" w:color="auto" w:fill="D9D9D9" w:themeFill="background1" w:themeFillShade="D9"/>
            <w:vAlign w:val="center"/>
          </w:tcPr>
          <w:p w14:paraId="636BE8CA" w14:textId="77777777" w:rsidR="007D2A2A" w:rsidRPr="008173C7" w:rsidRDefault="007D2A2A" w:rsidP="00E65323">
            <w:pPr>
              <w:jc w:val="center"/>
              <w:rPr>
                <w:rFonts w:cs="Times New Roman"/>
                <w:lang w:val="en-US"/>
              </w:rPr>
            </w:pPr>
            <w:r w:rsidRPr="008173C7">
              <w:rPr>
                <w:rFonts w:cs="Times New Roman"/>
                <w:lang w:val="en-US"/>
              </w:rPr>
              <w:t>Sectoral windows of opportunity prompted by SBE crisis</w:t>
            </w:r>
          </w:p>
        </w:tc>
        <w:tc>
          <w:tcPr>
            <w:tcW w:w="2268" w:type="dxa"/>
            <w:shd w:val="clear" w:color="auto" w:fill="D9D9D9" w:themeFill="background1" w:themeFillShade="D9"/>
            <w:vAlign w:val="center"/>
          </w:tcPr>
          <w:p w14:paraId="3DCE7E3A" w14:textId="77777777" w:rsidR="007D2A2A" w:rsidRPr="008173C7" w:rsidRDefault="007D2A2A" w:rsidP="00E65323">
            <w:pPr>
              <w:jc w:val="left"/>
              <w:rPr>
                <w:rFonts w:cs="Times New Roman"/>
                <w:lang w:val="en-US"/>
              </w:rPr>
            </w:pPr>
          </w:p>
        </w:tc>
        <w:tc>
          <w:tcPr>
            <w:tcW w:w="2002" w:type="dxa"/>
            <w:shd w:val="clear" w:color="auto" w:fill="D9D9D9" w:themeFill="background1" w:themeFillShade="D9"/>
          </w:tcPr>
          <w:p w14:paraId="35CD3FAD" w14:textId="77777777" w:rsidR="007D2A2A" w:rsidRPr="008173C7" w:rsidRDefault="007D2A2A" w:rsidP="00E65323">
            <w:pPr>
              <w:jc w:val="center"/>
              <w:rPr>
                <w:rFonts w:cs="Times New Roman"/>
                <w:lang w:val="en-US"/>
              </w:rPr>
            </w:pPr>
            <w:r w:rsidRPr="008173C7">
              <w:rPr>
                <w:rFonts w:cs="Times New Roman"/>
                <w:lang w:val="en-US"/>
              </w:rPr>
              <w:t>Strong contribution to a local debate. No national debate</w:t>
            </w:r>
          </w:p>
        </w:tc>
      </w:tr>
      <w:tr w:rsidR="00771BF6" w:rsidRPr="00921D03" w14:paraId="71824097" w14:textId="77777777" w:rsidTr="006F04B4">
        <w:trPr>
          <w:jc w:val="center"/>
        </w:trPr>
        <w:tc>
          <w:tcPr>
            <w:tcW w:w="1210" w:type="dxa"/>
            <w:shd w:val="clear" w:color="auto" w:fill="FFFFFF" w:themeFill="background1"/>
            <w:vAlign w:val="center"/>
          </w:tcPr>
          <w:p w14:paraId="0058F5F8" w14:textId="77777777" w:rsidR="007D2A2A" w:rsidRPr="008173C7" w:rsidRDefault="007D2A2A" w:rsidP="00E65323">
            <w:pPr>
              <w:jc w:val="center"/>
              <w:rPr>
                <w:rFonts w:cs="Times New Roman"/>
                <w:lang w:val="en-US"/>
              </w:rPr>
            </w:pPr>
            <w:r w:rsidRPr="008173C7">
              <w:rPr>
                <w:rFonts w:cs="Times New Roman"/>
                <w:lang w:val="en-US"/>
              </w:rPr>
              <w:t>C</w:t>
            </w:r>
          </w:p>
        </w:tc>
        <w:tc>
          <w:tcPr>
            <w:tcW w:w="712" w:type="dxa"/>
            <w:shd w:val="clear" w:color="auto" w:fill="FFFFFF" w:themeFill="background1"/>
            <w:vAlign w:val="center"/>
          </w:tcPr>
          <w:p w14:paraId="6FE0C983" w14:textId="77777777" w:rsidR="007D2A2A" w:rsidRPr="008173C7" w:rsidRDefault="007D2A2A" w:rsidP="00E65323">
            <w:pPr>
              <w:jc w:val="center"/>
              <w:rPr>
                <w:rFonts w:cs="Times New Roman"/>
                <w:lang w:val="en-US"/>
              </w:rPr>
            </w:pPr>
            <w:r w:rsidRPr="008173C7">
              <w:rPr>
                <w:rFonts w:cs="Times New Roman"/>
                <w:lang w:val="en-US"/>
              </w:rPr>
              <w:t>2</w:t>
            </w:r>
          </w:p>
        </w:tc>
        <w:tc>
          <w:tcPr>
            <w:tcW w:w="2632" w:type="dxa"/>
            <w:shd w:val="clear" w:color="auto" w:fill="FFFFFF" w:themeFill="background1"/>
            <w:vAlign w:val="center"/>
          </w:tcPr>
          <w:p w14:paraId="1D9F9D0E" w14:textId="77777777" w:rsidR="007D2A2A" w:rsidRPr="008173C7" w:rsidRDefault="007D2A2A" w:rsidP="00E65323">
            <w:pPr>
              <w:jc w:val="center"/>
              <w:rPr>
                <w:rFonts w:cs="Times New Roman"/>
                <w:lang w:val="en-US"/>
              </w:rPr>
            </w:pPr>
            <w:r w:rsidRPr="008173C7">
              <w:rPr>
                <w:rFonts w:cs="Times New Roman"/>
                <w:lang w:val="en-US"/>
              </w:rPr>
              <w:t>Strong credibility of messages but some research results did not spread</w:t>
            </w:r>
          </w:p>
        </w:tc>
        <w:tc>
          <w:tcPr>
            <w:tcW w:w="2268" w:type="dxa"/>
            <w:shd w:val="clear" w:color="auto" w:fill="FFFFFF" w:themeFill="background1"/>
            <w:vAlign w:val="center"/>
          </w:tcPr>
          <w:p w14:paraId="0F58EAB2" w14:textId="77777777" w:rsidR="007D2A2A" w:rsidRPr="008173C7" w:rsidRDefault="007D2A2A" w:rsidP="00E65323">
            <w:pPr>
              <w:jc w:val="center"/>
              <w:rPr>
                <w:rFonts w:cs="Times New Roman"/>
                <w:lang w:val="en-US"/>
              </w:rPr>
            </w:pPr>
          </w:p>
        </w:tc>
        <w:tc>
          <w:tcPr>
            <w:tcW w:w="2268" w:type="dxa"/>
            <w:shd w:val="clear" w:color="auto" w:fill="FFFFFF" w:themeFill="background1"/>
            <w:vAlign w:val="center"/>
          </w:tcPr>
          <w:p w14:paraId="61306283" w14:textId="77777777" w:rsidR="007D2A2A" w:rsidRPr="008173C7" w:rsidRDefault="007D2A2A" w:rsidP="00E65323">
            <w:pPr>
              <w:jc w:val="left"/>
              <w:rPr>
                <w:rFonts w:cs="Times New Roman"/>
                <w:lang w:val="en-US"/>
              </w:rPr>
            </w:pPr>
          </w:p>
        </w:tc>
        <w:tc>
          <w:tcPr>
            <w:tcW w:w="2002" w:type="dxa"/>
            <w:shd w:val="clear" w:color="auto" w:fill="FFFFFF" w:themeFill="background1"/>
          </w:tcPr>
          <w:p w14:paraId="1840301B" w14:textId="77777777" w:rsidR="007D2A2A" w:rsidRPr="008173C7" w:rsidRDefault="007D2A2A" w:rsidP="00E65323">
            <w:pPr>
              <w:jc w:val="center"/>
              <w:rPr>
                <w:rFonts w:cs="Times New Roman"/>
                <w:lang w:val="en-US"/>
              </w:rPr>
            </w:pPr>
          </w:p>
        </w:tc>
      </w:tr>
      <w:tr w:rsidR="00771BF6" w:rsidRPr="00921D03" w14:paraId="2F46A148" w14:textId="77777777" w:rsidTr="006F04B4">
        <w:trPr>
          <w:jc w:val="center"/>
        </w:trPr>
        <w:tc>
          <w:tcPr>
            <w:tcW w:w="1210" w:type="dxa"/>
            <w:shd w:val="clear" w:color="auto" w:fill="D9D9D9" w:themeFill="background1" w:themeFillShade="D9"/>
            <w:vAlign w:val="center"/>
          </w:tcPr>
          <w:p w14:paraId="2CF4D752" w14:textId="77777777" w:rsidR="007D2A2A" w:rsidRPr="008173C7" w:rsidRDefault="007D2A2A" w:rsidP="00E65323">
            <w:pPr>
              <w:jc w:val="center"/>
              <w:rPr>
                <w:rFonts w:cs="Times New Roman"/>
                <w:lang w:val="en-US"/>
              </w:rPr>
            </w:pPr>
            <w:r w:rsidRPr="008173C7">
              <w:rPr>
                <w:rFonts w:cs="Times New Roman"/>
                <w:lang w:val="en-US"/>
              </w:rPr>
              <w:t>D</w:t>
            </w:r>
          </w:p>
        </w:tc>
        <w:tc>
          <w:tcPr>
            <w:tcW w:w="712" w:type="dxa"/>
            <w:shd w:val="clear" w:color="auto" w:fill="D9D9D9" w:themeFill="background1" w:themeFillShade="D9"/>
            <w:vAlign w:val="center"/>
          </w:tcPr>
          <w:p w14:paraId="47F51F02" w14:textId="77777777" w:rsidR="007D2A2A" w:rsidRPr="008173C7" w:rsidRDefault="007D2A2A" w:rsidP="00E65323">
            <w:pPr>
              <w:jc w:val="center"/>
              <w:rPr>
                <w:rFonts w:cs="Times New Roman"/>
                <w:lang w:val="en-US"/>
              </w:rPr>
            </w:pPr>
            <w:r w:rsidRPr="008173C7">
              <w:rPr>
                <w:rFonts w:cs="Times New Roman"/>
                <w:lang w:val="en-US"/>
              </w:rPr>
              <w:t>3</w:t>
            </w:r>
          </w:p>
        </w:tc>
        <w:tc>
          <w:tcPr>
            <w:tcW w:w="2632" w:type="dxa"/>
            <w:shd w:val="clear" w:color="auto" w:fill="D9D9D9" w:themeFill="background1" w:themeFillShade="D9"/>
            <w:vAlign w:val="center"/>
          </w:tcPr>
          <w:p w14:paraId="21B36EBD" w14:textId="77777777" w:rsidR="007D2A2A" w:rsidRPr="008173C7" w:rsidRDefault="007D2A2A" w:rsidP="00E65323">
            <w:pPr>
              <w:jc w:val="center"/>
              <w:rPr>
                <w:rFonts w:cs="Times New Roman"/>
                <w:lang w:val="en-US"/>
              </w:rPr>
            </w:pPr>
          </w:p>
        </w:tc>
        <w:tc>
          <w:tcPr>
            <w:tcW w:w="2268" w:type="dxa"/>
            <w:shd w:val="clear" w:color="auto" w:fill="D9D9D9" w:themeFill="background1" w:themeFillShade="D9"/>
            <w:vAlign w:val="center"/>
          </w:tcPr>
          <w:p w14:paraId="7BAC086C" w14:textId="77777777" w:rsidR="007D2A2A" w:rsidRPr="008173C7" w:rsidRDefault="007D2A2A" w:rsidP="00E65323">
            <w:pPr>
              <w:jc w:val="center"/>
              <w:rPr>
                <w:rFonts w:cs="Times New Roman"/>
                <w:lang w:val="en-US"/>
              </w:rPr>
            </w:pPr>
          </w:p>
        </w:tc>
        <w:tc>
          <w:tcPr>
            <w:tcW w:w="2268" w:type="dxa"/>
            <w:shd w:val="clear" w:color="auto" w:fill="D9D9D9" w:themeFill="background1" w:themeFillShade="D9"/>
            <w:vAlign w:val="center"/>
          </w:tcPr>
          <w:p w14:paraId="11CC072E" w14:textId="77777777" w:rsidR="007D2A2A" w:rsidRPr="008173C7" w:rsidRDefault="007D2A2A" w:rsidP="00E65323">
            <w:pPr>
              <w:jc w:val="left"/>
              <w:rPr>
                <w:rFonts w:cs="Times New Roman"/>
                <w:lang w:val="en-US"/>
              </w:rPr>
            </w:pPr>
            <w:r w:rsidRPr="008173C7">
              <w:rPr>
                <w:rFonts w:cs="Times New Roman"/>
                <w:lang w:val="en-US"/>
              </w:rPr>
              <w:t>Information given to stakeholders of the sectoral policy only</w:t>
            </w:r>
          </w:p>
        </w:tc>
        <w:tc>
          <w:tcPr>
            <w:tcW w:w="2002" w:type="dxa"/>
            <w:shd w:val="clear" w:color="auto" w:fill="D9D9D9" w:themeFill="background1" w:themeFillShade="D9"/>
          </w:tcPr>
          <w:p w14:paraId="5B3C3192" w14:textId="77777777" w:rsidR="007D2A2A" w:rsidRPr="008173C7" w:rsidRDefault="007D2A2A" w:rsidP="00E65323">
            <w:pPr>
              <w:jc w:val="center"/>
              <w:rPr>
                <w:rFonts w:cs="Times New Roman"/>
                <w:lang w:val="en-US"/>
              </w:rPr>
            </w:pPr>
            <w:r w:rsidRPr="008173C7">
              <w:rPr>
                <w:rFonts w:cs="Times New Roman"/>
                <w:lang w:val="en-US"/>
              </w:rPr>
              <w:t>Strong contribution to sectoral debate, but not opened to national debate</w:t>
            </w:r>
          </w:p>
        </w:tc>
      </w:tr>
    </w:tbl>
    <w:p w14:paraId="43A60892" w14:textId="77777777" w:rsidR="007D2A2A" w:rsidRPr="008173C7" w:rsidRDefault="007D2A2A" w:rsidP="000401BB">
      <w:pPr>
        <w:spacing w:line="480" w:lineRule="auto"/>
        <w:rPr>
          <w:rFonts w:cs="Times New Roman"/>
          <w:lang w:val="en-US"/>
        </w:rPr>
      </w:pPr>
    </w:p>
    <w:p w14:paraId="795681F4" w14:textId="57420096" w:rsidR="007F15AD" w:rsidRPr="008173C7" w:rsidRDefault="007F15AD" w:rsidP="000401BB">
      <w:pPr>
        <w:spacing w:line="480" w:lineRule="auto"/>
        <w:rPr>
          <w:rFonts w:cs="Times New Roman"/>
          <w:lang w:val="en-US"/>
        </w:rPr>
      </w:pPr>
      <w:r w:rsidRPr="008173C7">
        <w:rPr>
          <w:rFonts w:cs="Times New Roman"/>
          <w:lang w:val="en-US"/>
        </w:rPr>
        <w:t>Table 2 reports</w:t>
      </w:r>
      <w:r w:rsidR="006629D7" w:rsidRPr="008173C7">
        <w:rPr>
          <w:rFonts w:cs="Times New Roman"/>
          <w:lang w:val="en-US"/>
        </w:rPr>
        <w:t xml:space="preserve"> a score and matching arguments</w:t>
      </w:r>
      <w:r w:rsidRPr="008173C7">
        <w:rPr>
          <w:rFonts w:cs="Times New Roman"/>
          <w:lang w:val="en-US"/>
        </w:rPr>
        <w:t xml:space="preserve"> for each of the three pilot cases</w:t>
      </w:r>
      <w:r w:rsidR="006629D7" w:rsidRPr="008173C7">
        <w:rPr>
          <w:rFonts w:cs="Times New Roman"/>
          <w:lang w:val="en-US"/>
        </w:rPr>
        <w:t xml:space="preserve"> exemplified</w:t>
      </w:r>
      <w:r w:rsidRPr="008173C7">
        <w:rPr>
          <w:rFonts w:cs="Times New Roman"/>
          <w:lang w:val="en-US"/>
        </w:rPr>
        <w:t xml:space="preserve">, for each expert, and for each sub-dimension. </w:t>
      </w:r>
      <w:r w:rsidR="00020ABB" w:rsidRPr="008173C7">
        <w:rPr>
          <w:rFonts w:cs="Times New Roman"/>
          <w:lang w:val="en-US"/>
        </w:rPr>
        <w:t xml:space="preserve">Based on </w:t>
      </w:r>
      <w:r w:rsidR="00996799" w:rsidRPr="008173C7">
        <w:rPr>
          <w:rFonts w:cs="Times New Roman"/>
          <w:lang w:val="en-US"/>
        </w:rPr>
        <w:t>collective challenging of the</w:t>
      </w:r>
      <w:r w:rsidRPr="008173C7">
        <w:rPr>
          <w:rFonts w:cs="Times New Roman"/>
          <w:lang w:val="en-US"/>
        </w:rPr>
        <w:t>se</w:t>
      </w:r>
      <w:r w:rsidR="00996799" w:rsidRPr="008173C7">
        <w:rPr>
          <w:rFonts w:cs="Times New Roman"/>
          <w:lang w:val="en-US"/>
        </w:rPr>
        <w:t xml:space="preserve"> </w:t>
      </w:r>
      <w:r w:rsidRPr="008173C7">
        <w:rPr>
          <w:rFonts w:cs="Times New Roman"/>
          <w:lang w:val="en-US"/>
        </w:rPr>
        <w:t>individual arguments</w:t>
      </w:r>
      <w:r w:rsidR="00872D97" w:rsidRPr="008173C7">
        <w:rPr>
          <w:rFonts w:cs="Times New Roman"/>
          <w:lang w:val="en-US"/>
        </w:rPr>
        <w:t>,</w:t>
      </w:r>
      <w:r w:rsidR="00E36488" w:rsidRPr="008173C7">
        <w:rPr>
          <w:rFonts w:cs="Times New Roman"/>
          <w:lang w:val="en-US"/>
        </w:rPr>
        <w:t xml:space="preserve"> </w:t>
      </w:r>
      <w:r w:rsidR="00020ABB" w:rsidRPr="008173C7">
        <w:rPr>
          <w:rFonts w:cs="Times New Roman"/>
          <w:lang w:val="en-US"/>
        </w:rPr>
        <w:t>we derived generic evaluation criteria related to each sub</w:t>
      </w:r>
      <w:r w:rsidR="00996799" w:rsidRPr="008173C7">
        <w:rPr>
          <w:rFonts w:cs="Times New Roman"/>
          <w:lang w:val="en-US"/>
        </w:rPr>
        <w:t>-</w:t>
      </w:r>
      <w:r w:rsidR="00020ABB" w:rsidRPr="008173C7">
        <w:rPr>
          <w:rFonts w:cs="Times New Roman"/>
          <w:lang w:val="en-US"/>
        </w:rPr>
        <w:t>dimension</w:t>
      </w:r>
      <w:r w:rsidR="00E36488" w:rsidRPr="008173C7">
        <w:rPr>
          <w:rFonts w:cs="Times New Roman"/>
          <w:lang w:val="en-US"/>
        </w:rPr>
        <w:t xml:space="preserve"> (</w:t>
      </w:r>
      <w:r w:rsidRPr="008173C7">
        <w:rPr>
          <w:rFonts w:cs="Times New Roman"/>
          <w:lang w:val="en-US"/>
        </w:rPr>
        <w:t xml:space="preserve">the criteria can be </w:t>
      </w:r>
      <w:r w:rsidR="00E36488" w:rsidRPr="008173C7">
        <w:rPr>
          <w:rFonts w:cs="Times New Roman"/>
          <w:lang w:val="en-US"/>
        </w:rPr>
        <w:t>see</w:t>
      </w:r>
      <w:r w:rsidRPr="008173C7">
        <w:rPr>
          <w:rFonts w:cs="Times New Roman"/>
          <w:lang w:val="en-US"/>
        </w:rPr>
        <w:t>n in</w:t>
      </w:r>
      <w:r w:rsidR="00E36488" w:rsidRPr="008173C7">
        <w:rPr>
          <w:rFonts w:cs="Times New Roman"/>
          <w:lang w:val="en-US"/>
        </w:rPr>
        <w:t xml:space="preserve"> </w:t>
      </w:r>
      <w:r w:rsidR="00EE63A7" w:rsidRPr="008173C7">
        <w:rPr>
          <w:rFonts w:cs="Times New Roman"/>
          <w:lang w:val="en-US"/>
        </w:rPr>
        <w:t>the final rating scale</w:t>
      </w:r>
      <w:r w:rsidR="006629D7" w:rsidRPr="008173C7">
        <w:rPr>
          <w:rFonts w:cs="Times New Roman"/>
          <w:lang w:val="en-US"/>
        </w:rPr>
        <w:t xml:space="preserve"> in</w:t>
      </w:r>
      <w:r w:rsidR="00EE63A7" w:rsidRPr="008173C7">
        <w:rPr>
          <w:rFonts w:cs="Times New Roman"/>
          <w:lang w:val="en-US"/>
        </w:rPr>
        <w:t xml:space="preserve"> </w:t>
      </w:r>
      <w:r w:rsidR="00996799" w:rsidRPr="008173C7">
        <w:rPr>
          <w:rFonts w:cs="Times New Roman"/>
          <w:lang w:val="en-US"/>
        </w:rPr>
        <w:t>t</w:t>
      </w:r>
      <w:r w:rsidRPr="008173C7">
        <w:rPr>
          <w:rFonts w:cs="Times New Roman"/>
          <w:lang w:val="en-US"/>
        </w:rPr>
        <w:t xml:space="preserve">able </w:t>
      </w:r>
      <w:r w:rsidR="00CD1316" w:rsidRPr="008173C7">
        <w:rPr>
          <w:rFonts w:cs="Times New Roman"/>
          <w:lang w:val="en-US"/>
        </w:rPr>
        <w:t>3</w:t>
      </w:r>
      <w:r w:rsidR="00E36488" w:rsidRPr="008173C7">
        <w:rPr>
          <w:rFonts w:cs="Times New Roman"/>
          <w:lang w:val="en-US"/>
        </w:rPr>
        <w:t>)</w:t>
      </w:r>
      <w:r w:rsidR="00020ABB" w:rsidRPr="008173C7">
        <w:rPr>
          <w:rFonts w:cs="Times New Roman"/>
          <w:lang w:val="en-US"/>
        </w:rPr>
        <w:t xml:space="preserve">. </w:t>
      </w:r>
      <w:r w:rsidRPr="008173C7">
        <w:rPr>
          <w:rFonts w:cs="Times New Roman"/>
          <w:lang w:val="en-US"/>
        </w:rPr>
        <w:t xml:space="preserve">These generic criteria </w:t>
      </w:r>
      <w:r w:rsidR="006629D7" w:rsidRPr="008173C7">
        <w:rPr>
          <w:rFonts w:cs="Times New Roman"/>
          <w:lang w:val="en-US"/>
        </w:rPr>
        <w:t xml:space="preserve">are derived </w:t>
      </w:r>
      <w:r w:rsidR="009D24E9" w:rsidRPr="008173C7">
        <w:rPr>
          <w:rFonts w:cs="Times New Roman"/>
          <w:lang w:val="en-US"/>
        </w:rPr>
        <w:t xml:space="preserve">from </w:t>
      </w:r>
      <w:r w:rsidR="006629D7" w:rsidRPr="008173C7">
        <w:rPr>
          <w:rFonts w:cs="Times New Roman"/>
          <w:lang w:val="en-US"/>
        </w:rPr>
        <w:t xml:space="preserve">the experts’ </w:t>
      </w:r>
      <w:r w:rsidRPr="008173C7">
        <w:rPr>
          <w:rFonts w:cs="Times New Roman"/>
          <w:lang w:val="en-US"/>
        </w:rPr>
        <w:t>combined arguments.</w:t>
      </w:r>
    </w:p>
    <w:p w14:paraId="3FBE6D47" w14:textId="46D70E41" w:rsidR="00D45EB8" w:rsidRPr="008173C7" w:rsidRDefault="00D45EB8" w:rsidP="000401BB">
      <w:pPr>
        <w:spacing w:line="480" w:lineRule="auto"/>
        <w:rPr>
          <w:rFonts w:cs="Times New Roman"/>
          <w:lang w:val="en-US"/>
        </w:rPr>
      </w:pPr>
      <w:r w:rsidRPr="008173C7">
        <w:rPr>
          <w:rFonts w:cs="Times New Roman"/>
          <w:noProof/>
          <w:lang w:eastAsia="fr-FR"/>
        </w:rPr>
        <mc:AlternateContent>
          <mc:Choice Requires="wps">
            <w:drawing>
              <wp:anchor distT="0" distB="0" distL="114300" distR="114300" simplePos="0" relativeHeight="251659264" behindDoc="0" locked="0" layoutInCell="1" allowOverlap="1" wp14:anchorId="13DD679F" wp14:editId="434AB326">
                <wp:simplePos x="0" y="0"/>
                <wp:positionH relativeFrom="column">
                  <wp:align>center</wp:align>
                </wp:positionH>
                <wp:positionV relativeFrom="paragraph">
                  <wp:posOffset>0</wp:posOffset>
                </wp:positionV>
                <wp:extent cx="5805170" cy="2818130"/>
                <wp:effectExtent l="0" t="0" r="24130" b="21590"/>
                <wp:wrapSquare wrapText="bothSides"/>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2818130"/>
                        </a:xfrm>
                        <a:prstGeom prst="rect">
                          <a:avLst/>
                        </a:prstGeom>
                        <a:solidFill>
                          <a:srgbClr val="FFFFFF"/>
                        </a:solidFill>
                        <a:ln w="9525">
                          <a:solidFill>
                            <a:srgbClr val="000000"/>
                          </a:solidFill>
                          <a:miter lim="800000"/>
                          <a:headEnd/>
                          <a:tailEnd/>
                        </a:ln>
                      </wps:spPr>
                      <wps:txbx>
                        <w:txbxContent>
                          <w:p w14:paraId="3CBF07AF" w14:textId="3B1FBABE" w:rsidR="0016494E" w:rsidRPr="00CD1316" w:rsidRDefault="0016494E" w:rsidP="00D45EB8">
                            <w:pPr>
                              <w:rPr>
                                <w:lang w:val="en-US"/>
                              </w:rPr>
                            </w:pPr>
                            <w:r>
                              <w:rPr>
                                <w:rFonts w:cs="Times New Roman"/>
                                <w:lang w:val="en-US"/>
                              </w:rPr>
                              <w:t>Inset 2</w:t>
                            </w:r>
                            <w:r w:rsidRPr="003B5402">
                              <w:rPr>
                                <w:rFonts w:cs="Times New Roman"/>
                                <w:lang w:val="en-US"/>
                              </w:rPr>
                              <w:t>:</w:t>
                            </w:r>
                            <w:r>
                              <w:rPr>
                                <w:rFonts w:cs="Times New Roman"/>
                                <w:lang w:val="en-US"/>
                              </w:rPr>
                              <w:t xml:space="preserve"> Implementation of the Condorcet collective re-ranking method on the experts individual </w:t>
                            </w:r>
                            <w:r w:rsidRPr="00CD1316">
                              <w:rPr>
                                <w:rFonts w:cs="Times New Roman"/>
                                <w:lang w:val="en-US"/>
                              </w:rPr>
                              <w:t xml:space="preserve">scores of three cases </w:t>
                            </w:r>
                            <w:r>
                              <w:rPr>
                                <w:rFonts w:cs="Times New Roman"/>
                                <w:lang w:val="en-US"/>
                              </w:rPr>
                              <w:t>on the</w:t>
                            </w:r>
                            <w:r w:rsidRPr="00CD1316">
                              <w:rPr>
                                <w:rFonts w:cs="Times New Roman"/>
                                <w:lang w:val="en-US"/>
                              </w:rPr>
                              <w:t xml:space="preserve"> dimension “</w:t>
                            </w:r>
                            <w:r w:rsidRPr="00CD1316">
                              <w:rPr>
                                <w:rFonts w:cs="Times New Roman"/>
                                <w:bCs/>
                                <w:lang w:val="en-US"/>
                              </w:rPr>
                              <w:t>Use in public debate and policy negotiation”</w:t>
                            </w:r>
                          </w:p>
                          <w:tbl>
                            <w:tblPr>
                              <w:tblW w:w="4800" w:type="dxa"/>
                              <w:tblInd w:w="55" w:type="dxa"/>
                              <w:tblBorders>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tblGrid>
                            <w:tr w:rsidR="0016494E" w:rsidRPr="00CD1316" w14:paraId="74F8751D" w14:textId="77777777" w:rsidTr="00F14D48">
                              <w:trPr>
                                <w:trHeight w:val="300"/>
                              </w:trPr>
                              <w:tc>
                                <w:tcPr>
                                  <w:tcW w:w="1200" w:type="dxa"/>
                                  <w:tcBorders>
                                    <w:top w:val="nil"/>
                                    <w:left w:val="nil"/>
                                    <w:bottom w:val="nil"/>
                                    <w:right w:val="single" w:sz="4" w:space="0" w:color="auto"/>
                                  </w:tcBorders>
                                  <w:noWrap/>
                                  <w:vAlign w:val="bottom"/>
                                  <w:hideMark/>
                                </w:tcPr>
                                <w:p w14:paraId="07968EC2"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Expert</w:t>
                                  </w:r>
                                </w:p>
                              </w:tc>
                              <w:tc>
                                <w:tcPr>
                                  <w:tcW w:w="1200" w:type="dxa"/>
                                  <w:tcBorders>
                                    <w:top w:val="nil"/>
                                    <w:left w:val="single" w:sz="4" w:space="0" w:color="auto"/>
                                    <w:bottom w:val="nil"/>
                                    <w:right w:val="single" w:sz="4" w:space="0" w:color="auto"/>
                                  </w:tcBorders>
                                  <w:noWrap/>
                                  <w:vAlign w:val="bottom"/>
                                  <w:hideMark/>
                                </w:tcPr>
                                <w:p w14:paraId="35EF5536"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BPA</w:t>
                                  </w:r>
                                </w:p>
                              </w:tc>
                              <w:tc>
                                <w:tcPr>
                                  <w:tcW w:w="1200" w:type="dxa"/>
                                  <w:tcBorders>
                                    <w:top w:val="nil"/>
                                    <w:left w:val="single" w:sz="4" w:space="0" w:color="auto"/>
                                    <w:bottom w:val="nil"/>
                                    <w:right w:val="single" w:sz="4" w:space="0" w:color="auto"/>
                                  </w:tcBorders>
                                  <w:noWrap/>
                                  <w:vAlign w:val="bottom"/>
                                  <w:hideMark/>
                                </w:tcPr>
                                <w:p w14:paraId="39A4BCF4"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Pesticides</w:t>
                                  </w:r>
                                </w:p>
                              </w:tc>
                              <w:tc>
                                <w:tcPr>
                                  <w:tcW w:w="1200" w:type="dxa"/>
                                  <w:tcBorders>
                                    <w:top w:val="nil"/>
                                    <w:left w:val="single" w:sz="4" w:space="0" w:color="auto"/>
                                    <w:bottom w:val="nil"/>
                                    <w:right w:val="nil"/>
                                  </w:tcBorders>
                                  <w:noWrap/>
                                  <w:vAlign w:val="bottom"/>
                                  <w:hideMark/>
                                </w:tcPr>
                                <w:p w14:paraId="7FF1A94A"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Scrapie</w:t>
                                  </w:r>
                                </w:p>
                              </w:tc>
                            </w:tr>
                            <w:tr w:rsidR="0016494E" w:rsidRPr="00CD1316" w14:paraId="33E7692B" w14:textId="77777777" w:rsidTr="00F14D48">
                              <w:trPr>
                                <w:trHeight w:val="300"/>
                              </w:trPr>
                              <w:tc>
                                <w:tcPr>
                                  <w:tcW w:w="1200" w:type="dxa"/>
                                  <w:tcBorders>
                                    <w:top w:val="nil"/>
                                    <w:left w:val="nil"/>
                                    <w:bottom w:val="nil"/>
                                    <w:right w:val="single" w:sz="4" w:space="0" w:color="auto"/>
                                  </w:tcBorders>
                                  <w:noWrap/>
                                  <w:vAlign w:val="bottom"/>
                                  <w:hideMark/>
                                </w:tcPr>
                                <w:p w14:paraId="7AB1D5B0"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A</w:t>
                                  </w:r>
                                </w:p>
                              </w:tc>
                              <w:tc>
                                <w:tcPr>
                                  <w:tcW w:w="1200" w:type="dxa"/>
                                  <w:tcBorders>
                                    <w:top w:val="nil"/>
                                    <w:left w:val="single" w:sz="4" w:space="0" w:color="auto"/>
                                    <w:bottom w:val="nil"/>
                                    <w:right w:val="single" w:sz="4" w:space="0" w:color="auto"/>
                                  </w:tcBorders>
                                  <w:noWrap/>
                                  <w:vAlign w:val="bottom"/>
                                  <w:hideMark/>
                                </w:tcPr>
                                <w:p w14:paraId="135FC065"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single" w:sz="4" w:space="0" w:color="auto"/>
                                  </w:tcBorders>
                                  <w:noWrap/>
                                  <w:vAlign w:val="bottom"/>
                                  <w:hideMark/>
                                </w:tcPr>
                                <w:p w14:paraId="5B64951E"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nil"/>
                                  </w:tcBorders>
                                  <w:noWrap/>
                                  <w:vAlign w:val="bottom"/>
                                  <w:hideMark/>
                                </w:tcPr>
                                <w:p w14:paraId="3CB9831B"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r>
                            <w:tr w:rsidR="0016494E" w:rsidRPr="00CD1316" w14:paraId="412C4F03" w14:textId="77777777" w:rsidTr="00F14D48">
                              <w:trPr>
                                <w:trHeight w:val="300"/>
                              </w:trPr>
                              <w:tc>
                                <w:tcPr>
                                  <w:tcW w:w="1200" w:type="dxa"/>
                                  <w:tcBorders>
                                    <w:top w:val="nil"/>
                                    <w:left w:val="nil"/>
                                    <w:bottom w:val="nil"/>
                                    <w:right w:val="single" w:sz="4" w:space="0" w:color="auto"/>
                                  </w:tcBorders>
                                  <w:noWrap/>
                                  <w:vAlign w:val="bottom"/>
                                  <w:hideMark/>
                                </w:tcPr>
                                <w:p w14:paraId="4FBA5F9A"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B</w:t>
                                  </w:r>
                                </w:p>
                              </w:tc>
                              <w:tc>
                                <w:tcPr>
                                  <w:tcW w:w="1200" w:type="dxa"/>
                                  <w:tcBorders>
                                    <w:top w:val="nil"/>
                                    <w:left w:val="single" w:sz="4" w:space="0" w:color="auto"/>
                                    <w:bottom w:val="nil"/>
                                    <w:right w:val="single" w:sz="4" w:space="0" w:color="auto"/>
                                  </w:tcBorders>
                                  <w:noWrap/>
                                  <w:vAlign w:val="bottom"/>
                                  <w:hideMark/>
                                </w:tcPr>
                                <w:p w14:paraId="3BF26DA3"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c>
                                <w:tcPr>
                                  <w:tcW w:w="1200" w:type="dxa"/>
                                  <w:tcBorders>
                                    <w:top w:val="nil"/>
                                    <w:left w:val="single" w:sz="4" w:space="0" w:color="auto"/>
                                    <w:bottom w:val="nil"/>
                                    <w:right w:val="single" w:sz="4" w:space="0" w:color="auto"/>
                                  </w:tcBorders>
                                  <w:noWrap/>
                                  <w:vAlign w:val="bottom"/>
                                  <w:hideMark/>
                                </w:tcPr>
                                <w:p w14:paraId="5E64E61F"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nil"/>
                                  </w:tcBorders>
                                  <w:noWrap/>
                                  <w:vAlign w:val="bottom"/>
                                  <w:hideMark/>
                                </w:tcPr>
                                <w:p w14:paraId="5FDD2048"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r>
                            <w:tr w:rsidR="0016494E" w:rsidRPr="00CD1316" w14:paraId="3E509753" w14:textId="77777777" w:rsidTr="00F14D48">
                              <w:trPr>
                                <w:trHeight w:val="300"/>
                              </w:trPr>
                              <w:tc>
                                <w:tcPr>
                                  <w:tcW w:w="1200" w:type="dxa"/>
                                  <w:tcBorders>
                                    <w:top w:val="nil"/>
                                    <w:left w:val="nil"/>
                                    <w:bottom w:val="nil"/>
                                    <w:right w:val="single" w:sz="4" w:space="0" w:color="auto"/>
                                  </w:tcBorders>
                                  <w:noWrap/>
                                  <w:vAlign w:val="bottom"/>
                                  <w:hideMark/>
                                </w:tcPr>
                                <w:p w14:paraId="5BDFEC4C"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C</w:t>
                                  </w:r>
                                </w:p>
                              </w:tc>
                              <w:tc>
                                <w:tcPr>
                                  <w:tcW w:w="1200" w:type="dxa"/>
                                  <w:tcBorders>
                                    <w:top w:val="nil"/>
                                    <w:left w:val="single" w:sz="4" w:space="0" w:color="auto"/>
                                    <w:bottom w:val="nil"/>
                                    <w:right w:val="single" w:sz="4" w:space="0" w:color="auto"/>
                                  </w:tcBorders>
                                  <w:noWrap/>
                                  <w:vAlign w:val="bottom"/>
                                  <w:hideMark/>
                                </w:tcPr>
                                <w:p w14:paraId="38790104"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c>
                                <w:tcPr>
                                  <w:tcW w:w="1200" w:type="dxa"/>
                                  <w:tcBorders>
                                    <w:top w:val="nil"/>
                                    <w:left w:val="single" w:sz="4" w:space="0" w:color="auto"/>
                                    <w:bottom w:val="nil"/>
                                    <w:right w:val="single" w:sz="4" w:space="0" w:color="auto"/>
                                  </w:tcBorders>
                                  <w:noWrap/>
                                  <w:vAlign w:val="bottom"/>
                                  <w:hideMark/>
                                </w:tcPr>
                                <w:p w14:paraId="1528D564"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nil"/>
                                  </w:tcBorders>
                                  <w:noWrap/>
                                  <w:vAlign w:val="bottom"/>
                                  <w:hideMark/>
                                </w:tcPr>
                                <w:p w14:paraId="5A8F161F"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2</w:t>
                                  </w:r>
                                </w:p>
                              </w:tc>
                            </w:tr>
                            <w:tr w:rsidR="0016494E" w:rsidRPr="00CD1316" w14:paraId="473A5754" w14:textId="77777777" w:rsidTr="00F14D48">
                              <w:trPr>
                                <w:trHeight w:val="300"/>
                              </w:trPr>
                              <w:tc>
                                <w:tcPr>
                                  <w:tcW w:w="1200" w:type="dxa"/>
                                  <w:tcBorders>
                                    <w:top w:val="nil"/>
                                    <w:left w:val="nil"/>
                                    <w:bottom w:val="nil"/>
                                    <w:right w:val="single" w:sz="4" w:space="0" w:color="auto"/>
                                  </w:tcBorders>
                                  <w:noWrap/>
                                  <w:vAlign w:val="bottom"/>
                                  <w:hideMark/>
                                </w:tcPr>
                                <w:p w14:paraId="34CA32DB"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D</w:t>
                                  </w:r>
                                </w:p>
                              </w:tc>
                              <w:tc>
                                <w:tcPr>
                                  <w:tcW w:w="1200" w:type="dxa"/>
                                  <w:tcBorders>
                                    <w:top w:val="nil"/>
                                    <w:left w:val="single" w:sz="4" w:space="0" w:color="auto"/>
                                    <w:bottom w:val="nil"/>
                                    <w:right w:val="single" w:sz="4" w:space="0" w:color="auto"/>
                                  </w:tcBorders>
                                  <w:noWrap/>
                                  <w:vAlign w:val="bottom"/>
                                  <w:hideMark/>
                                </w:tcPr>
                                <w:p w14:paraId="4C0DBE05"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5</w:t>
                                  </w:r>
                                </w:p>
                              </w:tc>
                              <w:tc>
                                <w:tcPr>
                                  <w:tcW w:w="1200" w:type="dxa"/>
                                  <w:tcBorders>
                                    <w:top w:val="nil"/>
                                    <w:left w:val="single" w:sz="4" w:space="0" w:color="auto"/>
                                    <w:bottom w:val="nil"/>
                                    <w:right w:val="single" w:sz="4" w:space="0" w:color="auto"/>
                                  </w:tcBorders>
                                  <w:noWrap/>
                                  <w:vAlign w:val="bottom"/>
                                  <w:hideMark/>
                                </w:tcPr>
                                <w:p w14:paraId="463FA413"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c>
                                <w:tcPr>
                                  <w:tcW w:w="1200" w:type="dxa"/>
                                  <w:tcBorders>
                                    <w:top w:val="nil"/>
                                    <w:left w:val="single" w:sz="4" w:space="0" w:color="auto"/>
                                    <w:bottom w:val="nil"/>
                                    <w:right w:val="nil"/>
                                  </w:tcBorders>
                                  <w:noWrap/>
                                  <w:vAlign w:val="bottom"/>
                                  <w:hideMark/>
                                </w:tcPr>
                                <w:p w14:paraId="12865A13"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r>
                          </w:tbl>
                          <w:p w14:paraId="243515D9" w14:textId="77777777" w:rsidR="0016494E" w:rsidRPr="00CD1316" w:rsidRDefault="0016494E" w:rsidP="00D45EB8">
                            <w:pPr>
                              <w:spacing w:after="0" w:line="240" w:lineRule="auto"/>
                              <w:rPr>
                                <w:rFonts w:cs="Times New Roman"/>
                                <w:lang w:val="en-US"/>
                              </w:rPr>
                            </w:pPr>
                            <w:r w:rsidRPr="00CD1316">
                              <w:rPr>
                                <w:rFonts w:cs="Times New Roman"/>
                                <w:lang w:val="en-US"/>
                              </w:rPr>
                              <w:t xml:space="preserve">Then </w:t>
                            </w:r>
                          </w:p>
                          <w:p w14:paraId="2393E1A0" w14:textId="377FB61D" w:rsidR="0016494E" w:rsidRPr="00CD1316" w:rsidRDefault="0016494E" w:rsidP="00D45EB8">
                            <w:pPr>
                              <w:spacing w:after="0"/>
                              <w:rPr>
                                <w:rFonts w:cs="Times New Roman"/>
                                <w:lang w:val="en-US"/>
                              </w:rPr>
                            </w:pPr>
                            <w:r w:rsidRPr="00CD1316">
                              <w:rPr>
                                <w:rFonts w:cs="Times New Roman"/>
                                <w:lang w:val="en-US"/>
                              </w:rPr>
                              <w:t xml:space="preserve">For </w:t>
                            </w:r>
                            <w:r>
                              <w:rPr>
                                <w:rFonts w:cs="Times New Roman"/>
                                <w:lang w:val="en-US"/>
                              </w:rPr>
                              <w:t xml:space="preserve">expert </w:t>
                            </w:r>
                            <w:r w:rsidRPr="00CD1316">
                              <w:rPr>
                                <w:rFonts w:cs="Times New Roman"/>
                                <w:lang w:val="en-US"/>
                              </w:rPr>
                              <w:t>A: Scrapie &lt;BPA=</w:t>
                            </w:r>
                            <w:r w:rsidRPr="00CD1316">
                              <w:rPr>
                                <w:rFonts w:eastAsia="Times New Roman" w:cs="Times New Roman"/>
                                <w:lang w:val="en-US" w:eastAsia="fr-FR"/>
                              </w:rPr>
                              <w:t xml:space="preserve"> Pesticides</w:t>
                            </w:r>
                          </w:p>
                          <w:p w14:paraId="7B438F03" w14:textId="77777777" w:rsidR="0016494E" w:rsidRPr="00CD1316" w:rsidRDefault="0016494E" w:rsidP="00D45EB8">
                            <w:pPr>
                              <w:spacing w:after="0"/>
                              <w:rPr>
                                <w:rFonts w:cs="Times New Roman"/>
                              </w:rPr>
                            </w:pPr>
                            <w:r>
                              <w:rPr>
                                <w:rFonts w:cs="Times New Roman"/>
                                <w:lang w:val="en-US"/>
                              </w:rPr>
                              <w:t xml:space="preserve">For </w:t>
                            </w:r>
                            <w:r w:rsidRPr="00CD1316">
                              <w:rPr>
                                <w:rFonts w:cs="Times New Roman"/>
                              </w:rPr>
                              <w:t>B Scrapie=BPA&lt;</w:t>
                            </w:r>
                            <w:r w:rsidRPr="00CD1316">
                              <w:rPr>
                                <w:rFonts w:eastAsia="Times New Roman" w:cs="Times New Roman"/>
                                <w:lang w:eastAsia="fr-FR"/>
                              </w:rPr>
                              <w:t xml:space="preserve"> Pesticides</w:t>
                            </w:r>
                          </w:p>
                          <w:p w14:paraId="69D268C3" w14:textId="77777777" w:rsidR="0016494E" w:rsidRPr="00CD1316" w:rsidRDefault="0016494E" w:rsidP="00D45EB8">
                            <w:pPr>
                              <w:spacing w:after="0"/>
                              <w:rPr>
                                <w:rFonts w:cs="Times New Roman"/>
                              </w:rPr>
                            </w:pPr>
                            <w:r>
                              <w:rPr>
                                <w:rFonts w:cs="Times New Roman"/>
                              </w:rPr>
                              <w:t xml:space="preserve">For </w:t>
                            </w:r>
                            <w:r w:rsidRPr="00CD1316">
                              <w:rPr>
                                <w:rFonts w:cs="Times New Roman"/>
                              </w:rPr>
                              <w:t>C: Scrapie &lt;BPA&lt;</w:t>
                            </w:r>
                            <w:r w:rsidRPr="00CD1316">
                              <w:rPr>
                                <w:rFonts w:eastAsia="Times New Roman" w:cs="Times New Roman"/>
                                <w:lang w:eastAsia="fr-FR"/>
                              </w:rPr>
                              <w:t xml:space="preserve"> Pesticides</w:t>
                            </w:r>
                          </w:p>
                          <w:p w14:paraId="4ADE2CEA" w14:textId="77777777" w:rsidR="0016494E" w:rsidRDefault="0016494E" w:rsidP="00D45EB8">
                            <w:pPr>
                              <w:spacing w:after="0"/>
                              <w:rPr>
                                <w:rFonts w:cs="Times New Roman"/>
                                <w:lang w:val="en-US"/>
                              </w:rPr>
                            </w:pPr>
                            <w:r w:rsidRPr="00E65323">
                              <w:rPr>
                                <w:rFonts w:cs="Times New Roman"/>
                                <w:lang w:val="en-US"/>
                              </w:rPr>
                              <w:t xml:space="preserve">For D: </w:t>
                            </w:r>
                            <w:r w:rsidRPr="00E65323">
                              <w:rPr>
                                <w:rFonts w:eastAsia="Times New Roman" w:cs="Times New Roman"/>
                                <w:lang w:val="en-US" w:eastAsia="fr-FR"/>
                              </w:rPr>
                              <w:t>Pesticides</w:t>
                            </w:r>
                            <w:r w:rsidRPr="00E65323">
                              <w:rPr>
                                <w:rFonts w:cs="Times New Roman"/>
                                <w:lang w:val="en-US"/>
                              </w:rPr>
                              <w:t xml:space="preserve"> = Scrapie &lt;BPA </w:t>
                            </w:r>
                          </w:p>
                          <w:p w14:paraId="32248B19" w14:textId="41224B69" w:rsidR="0016494E" w:rsidRPr="00E65323" w:rsidRDefault="0016494E" w:rsidP="00D45EB8">
                            <w:pPr>
                              <w:spacing w:after="0"/>
                              <w:rPr>
                                <w:rFonts w:cs="Times New Roman"/>
                                <w:lang w:val="en-US"/>
                              </w:rPr>
                            </w:pPr>
                            <w:r>
                              <w:rPr>
                                <w:rFonts w:cs="Times New Roman"/>
                                <w:lang w:val="en-US"/>
                              </w:rPr>
                              <w:t xml:space="preserve">The Condorcet pairing process identified for the </w:t>
                            </w:r>
                            <w:r w:rsidRPr="00CD1316">
                              <w:rPr>
                                <w:rFonts w:cs="Times New Roman"/>
                                <w:lang w:val="en-US"/>
                              </w:rPr>
                              <w:t>dimension “</w:t>
                            </w:r>
                            <w:r w:rsidRPr="00CD1316">
                              <w:rPr>
                                <w:rFonts w:cs="Times New Roman"/>
                                <w:bCs/>
                                <w:lang w:val="en-US"/>
                              </w:rPr>
                              <w:t>Use in public debate and policy negotiation</w:t>
                            </w:r>
                            <w:r>
                              <w:rPr>
                                <w:rFonts w:cs="Times New Roman"/>
                                <w:bCs/>
                                <w:lang w:val="en-US"/>
                              </w:rPr>
                              <w:t xml:space="preserve">”, </w:t>
                            </w:r>
                            <w:r w:rsidRPr="00D45EB8">
                              <w:rPr>
                                <w:lang w:val="en-US"/>
                              </w:rPr>
                              <w:t>Scrapie &lt; Pesticides = BPA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D679F" id="_x0000_t202" coordsize="21600,21600" o:spt="202" path="m,l,21600r21600,l21600,xe">
                <v:stroke joinstyle="miter"/>
                <v:path gradientshapeok="t" o:connecttype="rect"/>
              </v:shapetype>
              <v:shape id="Zone de texte 2" o:spid="_x0000_s1026" type="#_x0000_t202" style="position:absolute;left:0;text-align:left;margin-left:0;margin-top:0;width:457.1pt;height:221.9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">
                <v:textbox style="mso-fit-shape-to-text:t">
                  <w:txbxContent>
                    <w:p w14:paraId="3CBF07AF" w14:textId="3B1FBABE" w:rsidR="0016494E" w:rsidRPr="00CD1316" w:rsidRDefault="0016494E" w:rsidP="00D45EB8">
                      <w:pPr>
                        <w:rPr>
                          <w:lang w:val="en-US"/>
                        </w:rPr>
                      </w:pPr>
                      <w:r>
                        <w:rPr>
                          <w:rFonts w:cs="Times New Roman"/>
                          <w:lang w:val="en-US"/>
                        </w:rPr>
                        <w:t>Inset 2</w:t>
                      </w:r>
                      <w:r w:rsidRPr="003B5402">
                        <w:rPr>
                          <w:rFonts w:cs="Times New Roman"/>
                          <w:lang w:val="en-US"/>
                        </w:rPr>
                        <w:t>:</w:t>
                      </w:r>
                      <w:r>
                        <w:rPr>
                          <w:rFonts w:cs="Times New Roman"/>
                          <w:lang w:val="en-US"/>
                        </w:rPr>
                        <w:t xml:space="preserve"> Implementation of the Condorcet collective re-ranking method on the experts individual </w:t>
                      </w:r>
                      <w:r w:rsidRPr="00CD1316">
                        <w:rPr>
                          <w:rFonts w:cs="Times New Roman"/>
                          <w:lang w:val="en-US"/>
                        </w:rPr>
                        <w:t xml:space="preserve">scores of three cases </w:t>
                      </w:r>
                      <w:r>
                        <w:rPr>
                          <w:rFonts w:cs="Times New Roman"/>
                          <w:lang w:val="en-US"/>
                        </w:rPr>
                        <w:t>on the</w:t>
                      </w:r>
                      <w:r w:rsidRPr="00CD1316">
                        <w:rPr>
                          <w:rFonts w:cs="Times New Roman"/>
                          <w:lang w:val="en-US"/>
                        </w:rPr>
                        <w:t xml:space="preserve"> dimension “</w:t>
                      </w:r>
                      <w:r w:rsidRPr="00CD1316">
                        <w:rPr>
                          <w:rFonts w:cs="Times New Roman"/>
                          <w:bCs/>
                          <w:lang w:val="en-US"/>
                        </w:rPr>
                        <w:t>Use in public debate and policy negotiation”</w:t>
                      </w:r>
                    </w:p>
                    <w:tbl>
                      <w:tblPr>
                        <w:tblW w:w="4800" w:type="dxa"/>
                        <w:tblInd w:w="55" w:type="dxa"/>
                        <w:tblBorders>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tblGrid>
                      <w:tr w:rsidR="0016494E" w:rsidRPr="00CD1316" w14:paraId="74F8751D" w14:textId="77777777" w:rsidTr="00F14D48">
                        <w:trPr>
                          <w:trHeight w:val="300"/>
                        </w:trPr>
                        <w:tc>
                          <w:tcPr>
                            <w:tcW w:w="1200" w:type="dxa"/>
                            <w:tcBorders>
                              <w:top w:val="nil"/>
                              <w:left w:val="nil"/>
                              <w:bottom w:val="nil"/>
                              <w:right w:val="single" w:sz="4" w:space="0" w:color="auto"/>
                            </w:tcBorders>
                            <w:noWrap/>
                            <w:vAlign w:val="bottom"/>
                            <w:hideMark/>
                          </w:tcPr>
                          <w:p w14:paraId="07968EC2"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Expert</w:t>
                            </w:r>
                          </w:p>
                        </w:tc>
                        <w:tc>
                          <w:tcPr>
                            <w:tcW w:w="1200" w:type="dxa"/>
                            <w:tcBorders>
                              <w:top w:val="nil"/>
                              <w:left w:val="single" w:sz="4" w:space="0" w:color="auto"/>
                              <w:bottom w:val="nil"/>
                              <w:right w:val="single" w:sz="4" w:space="0" w:color="auto"/>
                            </w:tcBorders>
                            <w:noWrap/>
                            <w:vAlign w:val="bottom"/>
                            <w:hideMark/>
                          </w:tcPr>
                          <w:p w14:paraId="35EF5536"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BPA</w:t>
                            </w:r>
                          </w:p>
                        </w:tc>
                        <w:tc>
                          <w:tcPr>
                            <w:tcW w:w="1200" w:type="dxa"/>
                            <w:tcBorders>
                              <w:top w:val="nil"/>
                              <w:left w:val="single" w:sz="4" w:space="0" w:color="auto"/>
                              <w:bottom w:val="nil"/>
                              <w:right w:val="single" w:sz="4" w:space="0" w:color="auto"/>
                            </w:tcBorders>
                            <w:noWrap/>
                            <w:vAlign w:val="bottom"/>
                            <w:hideMark/>
                          </w:tcPr>
                          <w:p w14:paraId="39A4BCF4"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Pesticides</w:t>
                            </w:r>
                          </w:p>
                        </w:tc>
                        <w:tc>
                          <w:tcPr>
                            <w:tcW w:w="1200" w:type="dxa"/>
                            <w:tcBorders>
                              <w:top w:val="nil"/>
                              <w:left w:val="single" w:sz="4" w:space="0" w:color="auto"/>
                              <w:bottom w:val="nil"/>
                              <w:right w:val="nil"/>
                            </w:tcBorders>
                            <w:noWrap/>
                            <w:vAlign w:val="bottom"/>
                            <w:hideMark/>
                          </w:tcPr>
                          <w:p w14:paraId="7FF1A94A"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Scrapie</w:t>
                            </w:r>
                          </w:p>
                        </w:tc>
                      </w:tr>
                      <w:tr w:rsidR="0016494E" w:rsidRPr="00CD1316" w14:paraId="33E7692B" w14:textId="77777777" w:rsidTr="00F14D48">
                        <w:trPr>
                          <w:trHeight w:val="300"/>
                        </w:trPr>
                        <w:tc>
                          <w:tcPr>
                            <w:tcW w:w="1200" w:type="dxa"/>
                            <w:tcBorders>
                              <w:top w:val="nil"/>
                              <w:left w:val="nil"/>
                              <w:bottom w:val="nil"/>
                              <w:right w:val="single" w:sz="4" w:space="0" w:color="auto"/>
                            </w:tcBorders>
                            <w:noWrap/>
                            <w:vAlign w:val="bottom"/>
                            <w:hideMark/>
                          </w:tcPr>
                          <w:p w14:paraId="7AB1D5B0"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A</w:t>
                            </w:r>
                          </w:p>
                        </w:tc>
                        <w:tc>
                          <w:tcPr>
                            <w:tcW w:w="1200" w:type="dxa"/>
                            <w:tcBorders>
                              <w:top w:val="nil"/>
                              <w:left w:val="single" w:sz="4" w:space="0" w:color="auto"/>
                              <w:bottom w:val="nil"/>
                              <w:right w:val="single" w:sz="4" w:space="0" w:color="auto"/>
                            </w:tcBorders>
                            <w:noWrap/>
                            <w:vAlign w:val="bottom"/>
                            <w:hideMark/>
                          </w:tcPr>
                          <w:p w14:paraId="135FC065"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single" w:sz="4" w:space="0" w:color="auto"/>
                            </w:tcBorders>
                            <w:noWrap/>
                            <w:vAlign w:val="bottom"/>
                            <w:hideMark/>
                          </w:tcPr>
                          <w:p w14:paraId="5B64951E"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nil"/>
                            </w:tcBorders>
                            <w:noWrap/>
                            <w:vAlign w:val="bottom"/>
                            <w:hideMark/>
                          </w:tcPr>
                          <w:p w14:paraId="3CB9831B"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r>
                      <w:tr w:rsidR="0016494E" w:rsidRPr="00CD1316" w14:paraId="412C4F03" w14:textId="77777777" w:rsidTr="00F14D48">
                        <w:trPr>
                          <w:trHeight w:val="300"/>
                        </w:trPr>
                        <w:tc>
                          <w:tcPr>
                            <w:tcW w:w="1200" w:type="dxa"/>
                            <w:tcBorders>
                              <w:top w:val="nil"/>
                              <w:left w:val="nil"/>
                              <w:bottom w:val="nil"/>
                              <w:right w:val="single" w:sz="4" w:space="0" w:color="auto"/>
                            </w:tcBorders>
                            <w:noWrap/>
                            <w:vAlign w:val="bottom"/>
                            <w:hideMark/>
                          </w:tcPr>
                          <w:p w14:paraId="4FBA5F9A"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B</w:t>
                            </w:r>
                          </w:p>
                        </w:tc>
                        <w:tc>
                          <w:tcPr>
                            <w:tcW w:w="1200" w:type="dxa"/>
                            <w:tcBorders>
                              <w:top w:val="nil"/>
                              <w:left w:val="single" w:sz="4" w:space="0" w:color="auto"/>
                              <w:bottom w:val="nil"/>
                              <w:right w:val="single" w:sz="4" w:space="0" w:color="auto"/>
                            </w:tcBorders>
                            <w:noWrap/>
                            <w:vAlign w:val="bottom"/>
                            <w:hideMark/>
                          </w:tcPr>
                          <w:p w14:paraId="3BF26DA3"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c>
                          <w:tcPr>
                            <w:tcW w:w="1200" w:type="dxa"/>
                            <w:tcBorders>
                              <w:top w:val="nil"/>
                              <w:left w:val="single" w:sz="4" w:space="0" w:color="auto"/>
                              <w:bottom w:val="nil"/>
                              <w:right w:val="single" w:sz="4" w:space="0" w:color="auto"/>
                            </w:tcBorders>
                            <w:noWrap/>
                            <w:vAlign w:val="bottom"/>
                            <w:hideMark/>
                          </w:tcPr>
                          <w:p w14:paraId="5E64E61F"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nil"/>
                            </w:tcBorders>
                            <w:noWrap/>
                            <w:vAlign w:val="bottom"/>
                            <w:hideMark/>
                          </w:tcPr>
                          <w:p w14:paraId="5FDD2048"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r>
                      <w:tr w:rsidR="0016494E" w:rsidRPr="00CD1316" w14:paraId="3E509753" w14:textId="77777777" w:rsidTr="00F14D48">
                        <w:trPr>
                          <w:trHeight w:val="300"/>
                        </w:trPr>
                        <w:tc>
                          <w:tcPr>
                            <w:tcW w:w="1200" w:type="dxa"/>
                            <w:tcBorders>
                              <w:top w:val="nil"/>
                              <w:left w:val="nil"/>
                              <w:bottom w:val="nil"/>
                              <w:right w:val="single" w:sz="4" w:space="0" w:color="auto"/>
                            </w:tcBorders>
                            <w:noWrap/>
                            <w:vAlign w:val="bottom"/>
                            <w:hideMark/>
                          </w:tcPr>
                          <w:p w14:paraId="5BDFEC4C"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C</w:t>
                            </w:r>
                          </w:p>
                        </w:tc>
                        <w:tc>
                          <w:tcPr>
                            <w:tcW w:w="1200" w:type="dxa"/>
                            <w:tcBorders>
                              <w:top w:val="nil"/>
                              <w:left w:val="single" w:sz="4" w:space="0" w:color="auto"/>
                              <w:bottom w:val="nil"/>
                              <w:right w:val="single" w:sz="4" w:space="0" w:color="auto"/>
                            </w:tcBorders>
                            <w:noWrap/>
                            <w:vAlign w:val="bottom"/>
                            <w:hideMark/>
                          </w:tcPr>
                          <w:p w14:paraId="38790104"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c>
                          <w:tcPr>
                            <w:tcW w:w="1200" w:type="dxa"/>
                            <w:tcBorders>
                              <w:top w:val="nil"/>
                              <w:left w:val="single" w:sz="4" w:space="0" w:color="auto"/>
                              <w:bottom w:val="nil"/>
                              <w:right w:val="single" w:sz="4" w:space="0" w:color="auto"/>
                            </w:tcBorders>
                            <w:noWrap/>
                            <w:vAlign w:val="bottom"/>
                            <w:hideMark/>
                          </w:tcPr>
                          <w:p w14:paraId="1528D564"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4</w:t>
                            </w:r>
                          </w:p>
                        </w:tc>
                        <w:tc>
                          <w:tcPr>
                            <w:tcW w:w="1200" w:type="dxa"/>
                            <w:tcBorders>
                              <w:top w:val="nil"/>
                              <w:left w:val="single" w:sz="4" w:space="0" w:color="auto"/>
                              <w:bottom w:val="nil"/>
                              <w:right w:val="nil"/>
                            </w:tcBorders>
                            <w:noWrap/>
                            <w:vAlign w:val="bottom"/>
                            <w:hideMark/>
                          </w:tcPr>
                          <w:p w14:paraId="5A8F161F"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2</w:t>
                            </w:r>
                          </w:p>
                        </w:tc>
                      </w:tr>
                      <w:tr w:rsidR="0016494E" w:rsidRPr="00CD1316" w14:paraId="473A5754" w14:textId="77777777" w:rsidTr="00F14D48">
                        <w:trPr>
                          <w:trHeight w:val="300"/>
                        </w:trPr>
                        <w:tc>
                          <w:tcPr>
                            <w:tcW w:w="1200" w:type="dxa"/>
                            <w:tcBorders>
                              <w:top w:val="nil"/>
                              <w:left w:val="nil"/>
                              <w:bottom w:val="nil"/>
                              <w:right w:val="single" w:sz="4" w:space="0" w:color="auto"/>
                            </w:tcBorders>
                            <w:noWrap/>
                            <w:vAlign w:val="bottom"/>
                            <w:hideMark/>
                          </w:tcPr>
                          <w:p w14:paraId="34CA32DB"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D</w:t>
                            </w:r>
                          </w:p>
                        </w:tc>
                        <w:tc>
                          <w:tcPr>
                            <w:tcW w:w="1200" w:type="dxa"/>
                            <w:tcBorders>
                              <w:top w:val="nil"/>
                              <w:left w:val="single" w:sz="4" w:space="0" w:color="auto"/>
                              <w:bottom w:val="nil"/>
                              <w:right w:val="single" w:sz="4" w:space="0" w:color="auto"/>
                            </w:tcBorders>
                            <w:noWrap/>
                            <w:vAlign w:val="bottom"/>
                            <w:hideMark/>
                          </w:tcPr>
                          <w:p w14:paraId="4C0DBE05"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5</w:t>
                            </w:r>
                          </w:p>
                        </w:tc>
                        <w:tc>
                          <w:tcPr>
                            <w:tcW w:w="1200" w:type="dxa"/>
                            <w:tcBorders>
                              <w:top w:val="nil"/>
                              <w:left w:val="single" w:sz="4" w:space="0" w:color="auto"/>
                              <w:bottom w:val="nil"/>
                              <w:right w:val="single" w:sz="4" w:space="0" w:color="auto"/>
                            </w:tcBorders>
                            <w:noWrap/>
                            <w:vAlign w:val="bottom"/>
                            <w:hideMark/>
                          </w:tcPr>
                          <w:p w14:paraId="463FA413"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c>
                          <w:tcPr>
                            <w:tcW w:w="1200" w:type="dxa"/>
                            <w:tcBorders>
                              <w:top w:val="nil"/>
                              <w:left w:val="single" w:sz="4" w:space="0" w:color="auto"/>
                              <w:bottom w:val="nil"/>
                              <w:right w:val="nil"/>
                            </w:tcBorders>
                            <w:noWrap/>
                            <w:vAlign w:val="bottom"/>
                            <w:hideMark/>
                          </w:tcPr>
                          <w:p w14:paraId="12865A13" w14:textId="77777777" w:rsidR="0016494E" w:rsidRPr="00CD1316" w:rsidRDefault="0016494E" w:rsidP="00F14D48">
                            <w:pPr>
                              <w:spacing w:after="0" w:line="240" w:lineRule="auto"/>
                              <w:jc w:val="center"/>
                              <w:rPr>
                                <w:rFonts w:eastAsia="Times New Roman" w:cs="Times New Roman"/>
                                <w:lang w:eastAsia="fr-FR"/>
                              </w:rPr>
                            </w:pPr>
                            <w:r w:rsidRPr="00CD1316">
                              <w:rPr>
                                <w:rFonts w:eastAsia="Times New Roman" w:cs="Times New Roman"/>
                                <w:lang w:eastAsia="fr-FR"/>
                              </w:rPr>
                              <w:t>3</w:t>
                            </w:r>
                          </w:p>
                        </w:tc>
                      </w:tr>
                    </w:tbl>
                    <w:p w14:paraId="243515D9" w14:textId="77777777" w:rsidR="0016494E" w:rsidRPr="00CD1316" w:rsidRDefault="0016494E" w:rsidP="00D45EB8">
                      <w:pPr>
                        <w:spacing w:after="0" w:line="240" w:lineRule="auto"/>
                        <w:rPr>
                          <w:rFonts w:cs="Times New Roman"/>
                          <w:lang w:val="en-US"/>
                        </w:rPr>
                      </w:pPr>
                      <w:r w:rsidRPr="00CD1316">
                        <w:rPr>
                          <w:rFonts w:cs="Times New Roman"/>
                          <w:lang w:val="en-US"/>
                        </w:rPr>
                        <w:t xml:space="preserve">Then </w:t>
                      </w:r>
                    </w:p>
                    <w:p w14:paraId="2393E1A0" w14:textId="377FB61D" w:rsidR="0016494E" w:rsidRPr="00CD1316" w:rsidRDefault="0016494E" w:rsidP="00D45EB8">
                      <w:pPr>
                        <w:spacing w:after="0"/>
                        <w:rPr>
                          <w:rFonts w:cs="Times New Roman"/>
                          <w:lang w:val="en-US"/>
                        </w:rPr>
                      </w:pPr>
                      <w:r w:rsidRPr="00CD1316">
                        <w:rPr>
                          <w:rFonts w:cs="Times New Roman"/>
                          <w:lang w:val="en-US"/>
                        </w:rPr>
                        <w:t xml:space="preserve">For </w:t>
                      </w:r>
                      <w:r>
                        <w:rPr>
                          <w:rFonts w:cs="Times New Roman"/>
                          <w:lang w:val="en-US"/>
                        </w:rPr>
                        <w:t xml:space="preserve">expert </w:t>
                      </w:r>
                      <w:r w:rsidRPr="00CD1316">
                        <w:rPr>
                          <w:rFonts w:cs="Times New Roman"/>
                          <w:lang w:val="en-US"/>
                        </w:rPr>
                        <w:t>A: Scrapie &lt;BPA=</w:t>
                      </w:r>
                      <w:r w:rsidRPr="00CD1316">
                        <w:rPr>
                          <w:rFonts w:eastAsia="Times New Roman" w:cs="Times New Roman"/>
                          <w:lang w:val="en-US" w:eastAsia="fr-FR"/>
                        </w:rPr>
                        <w:t xml:space="preserve"> Pesticides</w:t>
                      </w:r>
                    </w:p>
                    <w:p w14:paraId="7B438F03" w14:textId="77777777" w:rsidR="0016494E" w:rsidRPr="00CD1316" w:rsidRDefault="0016494E" w:rsidP="00D45EB8">
                      <w:pPr>
                        <w:spacing w:after="0"/>
                        <w:rPr>
                          <w:rFonts w:cs="Times New Roman"/>
                        </w:rPr>
                      </w:pPr>
                      <w:r>
                        <w:rPr>
                          <w:rFonts w:cs="Times New Roman"/>
                          <w:lang w:val="en-US"/>
                        </w:rPr>
                        <w:t xml:space="preserve">For </w:t>
                      </w:r>
                      <w:r w:rsidRPr="00CD1316">
                        <w:rPr>
                          <w:rFonts w:cs="Times New Roman"/>
                        </w:rPr>
                        <w:t>B Scrapie=BPA&lt;</w:t>
                      </w:r>
                      <w:r w:rsidRPr="00CD1316">
                        <w:rPr>
                          <w:rFonts w:eastAsia="Times New Roman" w:cs="Times New Roman"/>
                          <w:lang w:eastAsia="fr-FR"/>
                        </w:rPr>
                        <w:t xml:space="preserve"> Pesticides</w:t>
                      </w:r>
                    </w:p>
                    <w:p w14:paraId="69D268C3" w14:textId="77777777" w:rsidR="0016494E" w:rsidRPr="00CD1316" w:rsidRDefault="0016494E" w:rsidP="00D45EB8">
                      <w:pPr>
                        <w:spacing w:after="0"/>
                        <w:rPr>
                          <w:rFonts w:cs="Times New Roman"/>
                        </w:rPr>
                      </w:pPr>
                      <w:r>
                        <w:rPr>
                          <w:rFonts w:cs="Times New Roman"/>
                        </w:rPr>
                        <w:t xml:space="preserve">For </w:t>
                      </w:r>
                      <w:r w:rsidRPr="00CD1316">
                        <w:rPr>
                          <w:rFonts w:cs="Times New Roman"/>
                        </w:rPr>
                        <w:t>C: Scrapie &lt;BPA&lt;</w:t>
                      </w:r>
                      <w:r w:rsidRPr="00CD1316">
                        <w:rPr>
                          <w:rFonts w:eastAsia="Times New Roman" w:cs="Times New Roman"/>
                          <w:lang w:eastAsia="fr-FR"/>
                        </w:rPr>
                        <w:t xml:space="preserve"> Pesticides</w:t>
                      </w:r>
                    </w:p>
                    <w:p w14:paraId="4ADE2CEA" w14:textId="77777777" w:rsidR="0016494E" w:rsidRDefault="0016494E" w:rsidP="00D45EB8">
                      <w:pPr>
                        <w:spacing w:after="0"/>
                        <w:rPr>
                          <w:rFonts w:cs="Times New Roman"/>
                          <w:lang w:val="en-US"/>
                        </w:rPr>
                      </w:pPr>
                      <w:r w:rsidRPr="00E65323">
                        <w:rPr>
                          <w:rFonts w:cs="Times New Roman"/>
                          <w:lang w:val="en-US"/>
                        </w:rPr>
                        <w:t xml:space="preserve">For D: </w:t>
                      </w:r>
                      <w:r w:rsidRPr="00E65323">
                        <w:rPr>
                          <w:rFonts w:eastAsia="Times New Roman" w:cs="Times New Roman"/>
                          <w:lang w:val="en-US" w:eastAsia="fr-FR"/>
                        </w:rPr>
                        <w:t>Pesticides</w:t>
                      </w:r>
                      <w:r w:rsidRPr="00E65323">
                        <w:rPr>
                          <w:rFonts w:cs="Times New Roman"/>
                          <w:lang w:val="en-US"/>
                        </w:rPr>
                        <w:t xml:space="preserve"> = Scrapie &lt;BPA </w:t>
                      </w:r>
                    </w:p>
                    <w:p w14:paraId="32248B19" w14:textId="41224B69" w:rsidR="0016494E" w:rsidRPr="00E65323" w:rsidRDefault="0016494E" w:rsidP="00D45EB8">
                      <w:pPr>
                        <w:spacing w:after="0"/>
                        <w:rPr>
                          <w:rFonts w:cs="Times New Roman"/>
                          <w:lang w:val="en-US"/>
                        </w:rPr>
                      </w:pPr>
                      <w:r>
                        <w:rPr>
                          <w:rFonts w:cs="Times New Roman"/>
                          <w:lang w:val="en-US"/>
                        </w:rPr>
                        <w:t xml:space="preserve">The Condorcet pairing process identified for the </w:t>
                      </w:r>
                      <w:r w:rsidRPr="00CD1316">
                        <w:rPr>
                          <w:rFonts w:cs="Times New Roman"/>
                          <w:lang w:val="en-US"/>
                        </w:rPr>
                        <w:t>dimension “</w:t>
                      </w:r>
                      <w:r w:rsidRPr="00CD1316">
                        <w:rPr>
                          <w:rFonts w:cs="Times New Roman"/>
                          <w:bCs/>
                          <w:lang w:val="en-US"/>
                        </w:rPr>
                        <w:t>Use in public debate and policy negotiation</w:t>
                      </w:r>
                      <w:r>
                        <w:rPr>
                          <w:rFonts w:cs="Times New Roman"/>
                          <w:bCs/>
                          <w:lang w:val="en-US"/>
                        </w:rPr>
                        <w:t xml:space="preserve">”, </w:t>
                      </w:r>
                      <w:r w:rsidRPr="00D45EB8">
                        <w:rPr>
                          <w:lang w:val="en-US"/>
                        </w:rPr>
                        <w:t>Scrapie &lt; Pesticides = BPA</w:t>
                      </w:r>
                    </w:p>
                  </w:txbxContent>
                </v:textbox>
                <w10:wrap type="square"/>
              </v:shape>
            </w:pict>
          </mc:Fallback>
        </mc:AlternateContent>
      </w:r>
    </w:p>
    <w:p w14:paraId="48C99597" w14:textId="09B67D6D" w:rsidR="00FC5B29" w:rsidRPr="008173C7" w:rsidRDefault="00D45EB8" w:rsidP="000401BB">
      <w:pPr>
        <w:spacing w:line="480" w:lineRule="auto"/>
        <w:rPr>
          <w:rFonts w:cs="Times New Roman"/>
          <w:lang w:val="en-US"/>
        </w:rPr>
      </w:pPr>
      <w:r w:rsidRPr="008173C7">
        <w:rPr>
          <w:rFonts w:cs="Times New Roman"/>
          <w:lang w:val="en-US"/>
        </w:rPr>
        <w:t>T</w:t>
      </w:r>
      <w:r w:rsidR="00626F13" w:rsidRPr="008173C7">
        <w:rPr>
          <w:rFonts w:cs="Times New Roman"/>
          <w:lang w:val="en-US"/>
        </w:rPr>
        <w:t xml:space="preserve">o order the evaluation criteria </w:t>
      </w:r>
      <w:r w:rsidR="00D97EB5" w:rsidRPr="008173C7">
        <w:rPr>
          <w:rFonts w:cs="Times New Roman"/>
          <w:lang w:val="en-US"/>
        </w:rPr>
        <w:t>w</w:t>
      </w:r>
      <w:r w:rsidR="007C0235" w:rsidRPr="008173C7">
        <w:rPr>
          <w:rFonts w:cs="Times New Roman"/>
          <w:lang w:val="en-US"/>
        </w:rPr>
        <w:t>e use</w:t>
      </w:r>
      <w:r w:rsidR="009D24E9" w:rsidRPr="008173C7">
        <w:rPr>
          <w:rFonts w:cs="Times New Roman"/>
          <w:lang w:val="en-US"/>
        </w:rPr>
        <w:t>d</w:t>
      </w:r>
      <w:r w:rsidR="007C0235" w:rsidRPr="008173C7">
        <w:rPr>
          <w:rFonts w:cs="Times New Roman"/>
          <w:lang w:val="en-US"/>
        </w:rPr>
        <w:t xml:space="preserve"> </w:t>
      </w:r>
      <w:r w:rsidR="0003033E" w:rsidRPr="008173C7">
        <w:rPr>
          <w:rFonts w:cs="Times New Roman"/>
          <w:lang w:val="en-US"/>
        </w:rPr>
        <w:t>a Condorcet method to crank the cases</w:t>
      </w:r>
      <w:r w:rsidR="00B4562B" w:rsidRPr="008173C7">
        <w:rPr>
          <w:rFonts w:cs="Times New Roman"/>
          <w:lang w:val="en-US"/>
        </w:rPr>
        <w:t xml:space="preserve"> </w:t>
      </w:r>
      <w:r w:rsidR="001D1915" w:rsidRPr="008173C7">
        <w:rPr>
          <w:rFonts w:cs="Times New Roman"/>
          <w:lang w:val="en-US"/>
        </w:rPr>
        <w:t>collectively</w:t>
      </w:r>
      <w:r w:rsidR="0003033E" w:rsidRPr="008173C7">
        <w:rPr>
          <w:rFonts w:cs="Times New Roman"/>
          <w:lang w:val="en-US"/>
        </w:rPr>
        <w:t xml:space="preserve"> based on </w:t>
      </w:r>
      <w:r w:rsidR="00B4562B" w:rsidRPr="008173C7">
        <w:rPr>
          <w:rFonts w:cs="Times New Roman"/>
          <w:lang w:val="en-US"/>
        </w:rPr>
        <w:t xml:space="preserve">each expert’s </w:t>
      </w:r>
      <w:r w:rsidR="0003033E" w:rsidRPr="008173C7">
        <w:rPr>
          <w:rFonts w:cs="Times New Roman"/>
          <w:lang w:val="en-US"/>
        </w:rPr>
        <w:t>individual ranking</w:t>
      </w:r>
      <w:r w:rsidR="00626F13" w:rsidRPr="008173C7">
        <w:rPr>
          <w:rFonts w:cs="Times New Roman"/>
          <w:lang w:val="en-US"/>
        </w:rPr>
        <w:t>s.</w:t>
      </w:r>
      <w:r w:rsidR="004860C5" w:rsidRPr="008173C7">
        <w:rPr>
          <w:rStyle w:val="Appelnotedebasdep"/>
          <w:rFonts w:cs="Times New Roman"/>
          <w:lang w:val="en-US"/>
        </w:rPr>
        <w:footnoteReference w:id="4"/>
      </w:r>
      <w:r w:rsidR="00A10DF8" w:rsidRPr="008173C7">
        <w:rPr>
          <w:rFonts w:cs="Times New Roman"/>
          <w:lang w:val="en-US"/>
        </w:rPr>
        <w:t xml:space="preserve"> </w:t>
      </w:r>
      <w:r w:rsidR="00B4562B" w:rsidRPr="008173C7">
        <w:rPr>
          <w:rFonts w:cs="Times New Roman"/>
          <w:lang w:val="en-US"/>
        </w:rPr>
        <w:t>A</w:t>
      </w:r>
      <w:r w:rsidR="00626F13" w:rsidRPr="008173C7">
        <w:rPr>
          <w:rFonts w:cs="Times New Roman"/>
          <w:lang w:val="en-US"/>
        </w:rPr>
        <w:t xml:space="preserve"> </w:t>
      </w:r>
      <w:r w:rsidR="00B7021F" w:rsidRPr="008173C7">
        <w:rPr>
          <w:rFonts w:cs="Times New Roman"/>
          <w:lang w:val="en-US"/>
        </w:rPr>
        <w:t xml:space="preserve">Condorcet method elects the candidate that would win </w:t>
      </w:r>
      <w:r w:rsidR="00626F13" w:rsidRPr="008173C7">
        <w:rPr>
          <w:rFonts w:cs="Times New Roman"/>
          <w:lang w:val="en-US"/>
        </w:rPr>
        <w:t xml:space="preserve">according to </w:t>
      </w:r>
      <w:r w:rsidR="00B7021F" w:rsidRPr="008173C7">
        <w:rPr>
          <w:rFonts w:cs="Times New Roman"/>
          <w:lang w:val="en-US"/>
        </w:rPr>
        <w:t xml:space="preserve">majority rule in all pairings against the other candidates. </w:t>
      </w:r>
      <w:r w:rsidR="00626F13" w:rsidRPr="008173C7">
        <w:rPr>
          <w:rFonts w:cs="Times New Roman"/>
          <w:lang w:val="en-US"/>
        </w:rPr>
        <w:t xml:space="preserve">Since </w:t>
      </w:r>
      <w:r w:rsidR="00F552A7" w:rsidRPr="008173C7">
        <w:rPr>
          <w:rFonts w:cs="Times New Roman"/>
          <w:lang w:val="en-US"/>
        </w:rPr>
        <w:t xml:space="preserve">the experts were invited to compare each case study </w:t>
      </w:r>
      <w:r w:rsidR="003B5402" w:rsidRPr="008173C7">
        <w:rPr>
          <w:rFonts w:cs="Times New Roman"/>
          <w:lang w:val="en-US"/>
        </w:rPr>
        <w:t xml:space="preserve">to the other case studies </w:t>
      </w:r>
      <w:r w:rsidR="00D5704F" w:rsidRPr="008173C7">
        <w:rPr>
          <w:rFonts w:cs="Times New Roman"/>
          <w:lang w:val="en-US"/>
        </w:rPr>
        <w:t xml:space="preserve">for each impact </w:t>
      </w:r>
      <w:r w:rsidR="00F552A7" w:rsidRPr="008173C7">
        <w:rPr>
          <w:rFonts w:cs="Times New Roman"/>
          <w:lang w:val="en-US"/>
        </w:rPr>
        <w:t xml:space="preserve">dimension, we </w:t>
      </w:r>
      <w:r w:rsidR="008A5C13" w:rsidRPr="008173C7">
        <w:rPr>
          <w:rFonts w:cs="Times New Roman"/>
          <w:lang w:val="en-US"/>
        </w:rPr>
        <w:t xml:space="preserve">considered that the </w:t>
      </w:r>
      <w:r w:rsidR="003B5402" w:rsidRPr="008173C7">
        <w:rPr>
          <w:rFonts w:cs="Times New Roman"/>
          <w:lang w:val="en-US"/>
        </w:rPr>
        <w:t xml:space="preserve">expert ratings </w:t>
      </w:r>
      <w:r w:rsidR="00BB7CDD" w:rsidRPr="008173C7">
        <w:rPr>
          <w:rFonts w:cs="Times New Roman"/>
          <w:lang w:val="en-US"/>
        </w:rPr>
        <w:t xml:space="preserve">expressed </w:t>
      </w:r>
      <w:r w:rsidR="008A5C13" w:rsidRPr="008173C7">
        <w:rPr>
          <w:rFonts w:cs="Times New Roman"/>
          <w:lang w:val="en-US"/>
        </w:rPr>
        <w:t xml:space="preserve">their order of preference. </w:t>
      </w:r>
      <w:r w:rsidR="003B5402" w:rsidRPr="008173C7">
        <w:rPr>
          <w:rFonts w:cs="Times New Roman"/>
          <w:lang w:val="en-US"/>
        </w:rPr>
        <w:t>F</w:t>
      </w:r>
      <w:r w:rsidR="00B7021F" w:rsidRPr="008173C7">
        <w:rPr>
          <w:rFonts w:cs="Times New Roman"/>
          <w:lang w:val="en-US"/>
        </w:rPr>
        <w:t>or each case</w:t>
      </w:r>
      <w:r w:rsidR="00B4562B" w:rsidRPr="008173C7">
        <w:rPr>
          <w:rFonts w:cs="Times New Roman"/>
          <w:lang w:val="en-US"/>
        </w:rPr>
        <w:t>,</w:t>
      </w:r>
      <w:r w:rsidR="00B7021F" w:rsidRPr="008173C7">
        <w:rPr>
          <w:rFonts w:cs="Times New Roman"/>
          <w:lang w:val="en-US"/>
        </w:rPr>
        <w:t xml:space="preserve"> </w:t>
      </w:r>
      <w:r w:rsidR="003B5402" w:rsidRPr="008173C7">
        <w:rPr>
          <w:rFonts w:cs="Times New Roman"/>
          <w:lang w:val="en-US"/>
        </w:rPr>
        <w:t xml:space="preserve">we conducted </w:t>
      </w:r>
      <w:r w:rsidR="00B7021F" w:rsidRPr="008173C7">
        <w:rPr>
          <w:rFonts w:cs="Times New Roman"/>
          <w:lang w:val="en-US"/>
        </w:rPr>
        <w:t>a series of pairwise comparisons with the other four cases (</w:t>
      </w:r>
      <w:r w:rsidR="003B5402" w:rsidRPr="008173C7">
        <w:rPr>
          <w:rFonts w:cs="Times New Roman"/>
          <w:lang w:val="en-US"/>
        </w:rPr>
        <w:t xml:space="preserve">involving </w:t>
      </w:r>
      <w:r w:rsidR="00B7021F" w:rsidRPr="008173C7">
        <w:rPr>
          <w:rFonts w:cs="Times New Roman"/>
          <w:lang w:val="en-US"/>
        </w:rPr>
        <w:t>10 pairwise</w:t>
      </w:r>
      <w:r w:rsidR="007B29AB" w:rsidRPr="008173C7">
        <w:rPr>
          <w:rFonts w:cs="Times New Roman"/>
          <w:lang w:val="en-US"/>
        </w:rPr>
        <w:t xml:space="preserve"> hypothetical elections per sub</w:t>
      </w:r>
      <w:r w:rsidR="003B5402" w:rsidRPr="008173C7">
        <w:rPr>
          <w:rFonts w:cs="Times New Roman"/>
          <w:lang w:val="en-US"/>
        </w:rPr>
        <w:t>-</w:t>
      </w:r>
      <w:r w:rsidR="00B7021F" w:rsidRPr="008173C7">
        <w:rPr>
          <w:rFonts w:cs="Times New Roman"/>
          <w:lang w:val="en-US"/>
        </w:rPr>
        <w:t>dimension).</w:t>
      </w:r>
      <w:r w:rsidR="00BA7519" w:rsidRPr="008173C7">
        <w:rPr>
          <w:rFonts w:cs="Times New Roman"/>
          <w:lang w:val="en-US"/>
        </w:rPr>
        <w:t xml:space="preserve"> </w:t>
      </w:r>
      <w:r w:rsidR="00CD1316" w:rsidRPr="008173C7">
        <w:rPr>
          <w:rFonts w:cs="Times New Roman"/>
          <w:lang w:val="en-US"/>
        </w:rPr>
        <w:t>Inset 2</w:t>
      </w:r>
      <w:r w:rsidR="00BA7519" w:rsidRPr="008173C7">
        <w:rPr>
          <w:rFonts w:cs="Times New Roman"/>
          <w:lang w:val="en-US"/>
        </w:rPr>
        <w:t xml:space="preserve"> reports the implementation of the Condorcet method on the three</w:t>
      </w:r>
      <w:r w:rsidR="007924B1" w:rsidRPr="008173C7">
        <w:rPr>
          <w:rFonts w:cs="Times New Roman"/>
          <w:lang w:val="en-US"/>
        </w:rPr>
        <w:t xml:space="preserve"> cases which are those presented </w:t>
      </w:r>
      <w:r w:rsidR="00B4562B" w:rsidRPr="008173C7">
        <w:rPr>
          <w:rFonts w:cs="Times New Roman"/>
          <w:lang w:val="en-US"/>
        </w:rPr>
        <w:t>in t</w:t>
      </w:r>
      <w:r w:rsidR="00BA7519" w:rsidRPr="008173C7">
        <w:rPr>
          <w:rFonts w:cs="Times New Roman"/>
          <w:lang w:val="en-US"/>
        </w:rPr>
        <w:t xml:space="preserve">able 2. </w:t>
      </w:r>
      <w:r w:rsidR="00B7021F" w:rsidRPr="008173C7">
        <w:rPr>
          <w:rFonts w:cs="Times New Roman"/>
          <w:lang w:val="en-US"/>
        </w:rPr>
        <w:t>T</w:t>
      </w:r>
      <w:r w:rsidR="00173F24" w:rsidRPr="008173C7">
        <w:rPr>
          <w:rFonts w:cs="Times New Roman"/>
          <w:lang w:val="en-US"/>
        </w:rPr>
        <w:t xml:space="preserve">he case </w:t>
      </w:r>
      <w:r w:rsidR="003B5402" w:rsidRPr="008173C7">
        <w:rPr>
          <w:rFonts w:cs="Times New Roman"/>
          <w:lang w:val="en-US"/>
        </w:rPr>
        <w:t xml:space="preserve">identified </w:t>
      </w:r>
      <w:r w:rsidR="00173F24" w:rsidRPr="008173C7">
        <w:rPr>
          <w:rFonts w:cs="Times New Roman"/>
          <w:lang w:val="en-US"/>
        </w:rPr>
        <w:t>individually by a majority of the experts to upgrade each of the other cases (</w:t>
      </w:r>
      <w:r w:rsidR="003B5402" w:rsidRPr="008173C7">
        <w:rPr>
          <w:rFonts w:cs="Times New Roman"/>
          <w:lang w:val="en-US"/>
        </w:rPr>
        <w:t xml:space="preserve">in </w:t>
      </w:r>
      <w:r w:rsidR="00173F24" w:rsidRPr="008173C7">
        <w:rPr>
          <w:rFonts w:cs="Times New Roman"/>
          <w:lang w:val="en-US"/>
        </w:rPr>
        <w:t xml:space="preserve">a pairing comparison) was ranked </w:t>
      </w:r>
      <w:r w:rsidR="003B5402" w:rsidRPr="008173C7">
        <w:rPr>
          <w:rFonts w:cs="Times New Roman"/>
          <w:lang w:val="en-US"/>
        </w:rPr>
        <w:t xml:space="preserve">collectively </w:t>
      </w:r>
      <w:r w:rsidR="00173F24" w:rsidRPr="008173C7">
        <w:rPr>
          <w:rFonts w:cs="Times New Roman"/>
          <w:lang w:val="en-US"/>
        </w:rPr>
        <w:t xml:space="preserve">higher, and vice-versa for lower </w:t>
      </w:r>
      <w:r w:rsidR="003B5402" w:rsidRPr="008173C7">
        <w:rPr>
          <w:rFonts w:cs="Times New Roman"/>
          <w:lang w:val="en-US"/>
        </w:rPr>
        <w:t>ratings</w:t>
      </w:r>
      <w:r w:rsidR="00173F24" w:rsidRPr="008173C7">
        <w:rPr>
          <w:rFonts w:cs="Times New Roman"/>
          <w:lang w:val="en-US"/>
        </w:rPr>
        <w:t xml:space="preserve">. </w:t>
      </w:r>
      <w:r w:rsidR="003B5402" w:rsidRPr="008173C7">
        <w:rPr>
          <w:rFonts w:cs="Times New Roman"/>
          <w:lang w:val="en-US"/>
        </w:rPr>
        <w:t xml:space="preserve">Since </w:t>
      </w:r>
      <w:r w:rsidR="00983050" w:rsidRPr="008173C7">
        <w:rPr>
          <w:rFonts w:cs="Times New Roman"/>
          <w:lang w:val="en-US"/>
        </w:rPr>
        <w:t>the number of votes was limited, we chose to consider a difference of one vote in favor of a candidate</w:t>
      </w:r>
      <w:r w:rsidR="003B5402" w:rsidRPr="008173C7">
        <w:rPr>
          <w:rFonts w:cs="Times New Roman"/>
          <w:lang w:val="en-US"/>
        </w:rPr>
        <w:t xml:space="preserve"> to be a tie</w:t>
      </w:r>
      <w:r w:rsidR="00FC5B29" w:rsidRPr="008173C7">
        <w:rPr>
          <w:rFonts w:cs="Times New Roman"/>
          <w:lang w:val="en-US"/>
        </w:rPr>
        <w:t>.</w:t>
      </w:r>
      <w:r w:rsidR="00983050" w:rsidRPr="008173C7">
        <w:rPr>
          <w:rFonts w:cs="Times New Roman"/>
          <w:lang w:val="en-US"/>
        </w:rPr>
        <w:t xml:space="preserve"> If the Condorcet </w:t>
      </w:r>
      <w:r w:rsidR="00D94D00" w:rsidRPr="008173C7">
        <w:rPr>
          <w:rFonts w:cs="Times New Roman"/>
          <w:lang w:val="en-US"/>
        </w:rPr>
        <w:t xml:space="preserve">method </w:t>
      </w:r>
      <w:r w:rsidR="00983050" w:rsidRPr="008173C7">
        <w:rPr>
          <w:rFonts w:cs="Times New Roman"/>
          <w:lang w:val="en-US"/>
        </w:rPr>
        <w:t xml:space="preserve">did not </w:t>
      </w:r>
      <w:r w:rsidR="00B4562B" w:rsidRPr="008173C7">
        <w:rPr>
          <w:rFonts w:cs="Times New Roman"/>
          <w:lang w:val="en-US"/>
        </w:rPr>
        <w:t xml:space="preserve">distinguish between </w:t>
      </w:r>
      <w:r w:rsidR="00983050" w:rsidRPr="008173C7">
        <w:rPr>
          <w:rFonts w:cs="Times New Roman"/>
          <w:lang w:val="en-US"/>
        </w:rPr>
        <w:t>two case</w:t>
      </w:r>
      <w:r w:rsidR="00D94D00" w:rsidRPr="008173C7">
        <w:rPr>
          <w:rFonts w:cs="Times New Roman"/>
          <w:lang w:val="en-US"/>
        </w:rPr>
        <w:t>s</w:t>
      </w:r>
      <w:r w:rsidR="00983050" w:rsidRPr="008173C7">
        <w:rPr>
          <w:rFonts w:cs="Times New Roman"/>
          <w:lang w:val="en-US"/>
        </w:rPr>
        <w:t xml:space="preserve">, we </w:t>
      </w:r>
      <w:r w:rsidR="00624731" w:rsidRPr="008173C7">
        <w:rPr>
          <w:rFonts w:cs="Times New Roman"/>
          <w:lang w:val="en-US"/>
        </w:rPr>
        <w:t>awarded them the same mark</w:t>
      </w:r>
      <w:r w:rsidR="00983050" w:rsidRPr="008173C7">
        <w:rPr>
          <w:rFonts w:cs="Times New Roman"/>
          <w:lang w:val="en-US"/>
        </w:rPr>
        <w:t xml:space="preserve">. </w:t>
      </w:r>
    </w:p>
    <w:p w14:paraId="787C9193" w14:textId="09E621C8" w:rsidR="00983050" w:rsidRPr="008173C7" w:rsidRDefault="00173F24" w:rsidP="000401BB">
      <w:pPr>
        <w:spacing w:line="480" w:lineRule="auto"/>
        <w:rPr>
          <w:rFonts w:cs="Times New Roman"/>
          <w:lang w:val="en-US"/>
        </w:rPr>
      </w:pPr>
      <w:r w:rsidRPr="008173C7">
        <w:rPr>
          <w:rFonts w:cs="Times New Roman"/>
          <w:lang w:val="en-US"/>
        </w:rPr>
        <w:t xml:space="preserve">This collective consensus re-ranking procedure was performed for each </w:t>
      </w:r>
      <w:r w:rsidR="00BF396A" w:rsidRPr="008173C7">
        <w:rPr>
          <w:rFonts w:cs="Times New Roman"/>
          <w:lang w:val="en-US"/>
        </w:rPr>
        <w:t>of the four</w:t>
      </w:r>
      <w:r w:rsidRPr="008173C7">
        <w:rPr>
          <w:rFonts w:cs="Times New Roman"/>
          <w:lang w:val="en-US"/>
        </w:rPr>
        <w:t xml:space="preserve"> political impact dimensions. Since each </w:t>
      </w:r>
      <w:r w:rsidR="003B5402" w:rsidRPr="008173C7">
        <w:rPr>
          <w:rFonts w:cs="Times New Roman"/>
          <w:lang w:val="en-US"/>
        </w:rPr>
        <w:t xml:space="preserve">expert </w:t>
      </w:r>
      <w:r w:rsidR="00F14D48" w:rsidRPr="008173C7">
        <w:rPr>
          <w:rFonts w:cs="Times New Roman"/>
          <w:lang w:val="en-US"/>
        </w:rPr>
        <w:t>score</w:t>
      </w:r>
      <w:r w:rsidR="003B5402" w:rsidRPr="008173C7">
        <w:rPr>
          <w:rFonts w:cs="Times New Roman"/>
          <w:lang w:val="en-US"/>
        </w:rPr>
        <w:t xml:space="preserve"> </w:t>
      </w:r>
      <w:r w:rsidRPr="008173C7">
        <w:rPr>
          <w:rFonts w:cs="Times New Roman"/>
          <w:lang w:val="en-US"/>
        </w:rPr>
        <w:t>was associated with</w:t>
      </w:r>
      <w:r w:rsidR="007F444A" w:rsidRPr="008173C7">
        <w:rPr>
          <w:rFonts w:cs="Times New Roman"/>
          <w:lang w:val="en-US"/>
        </w:rPr>
        <w:t xml:space="preserve"> </w:t>
      </w:r>
      <w:r w:rsidR="003B5402" w:rsidRPr="008173C7">
        <w:rPr>
          <w:rFonts w:cs="Times New Roman"/>
          <w:lang w:val="en-US"/>
        </w:rPr>
        <w:t xml:space="preserve">the expert's </w:t>
      </w:r>
      <w:r w:rsidR="00A51A24" w:rsidRPr="008173C7">
        <w:rPr>
          <w:rFonts w:cs="Times New Roman"/>
          <w:lang w:val="en-US"/>
        </w:rPr>
        <w:t>arguments</w:t>
      </w:r>
      <w:r w:rsidRPr="008173C7">
        <w:rPr>
          <w:rFonts w:cs="Times New Roman"/>
          <w:lang w:val="en-US"/>
        </w:rPr>
        <w:t xml:space="preserve"> this </w:t>
      </w:r>
      <w:r w:rsidR="00F14D48" w:rsidRPr="008173C7">
        <w:rPr>
          <w:rFonts w:cs="Times New Roman"/>
          <w:lang w:val="en-US"/>
        </w:rPr>
        <w:t xml:space="preserve">Condorcet </w:t>
      </w:r>
      <w:r w:rsidRPr="008173C7">
        <w:rPr>
          <w:rFonts w:cs="Times New Roman"/>
          <w:lang w:val="en-US"/>
        </w:rPr>
        <w:t xml:space="preserve">collective re-ranking of cases led to a hierarchy of </w:t>
      </w:r>
      <w:r w:rsidR="00F06A5E" w:rsidRPr="008173C7">
        <w:rPr>
          <w:rFonts w:cs="Times New Roman"/>
          <w:lang w:val="en-US"/>
        </w:rPr>
        <w:t>evidence</w:t>
      </w:r>
      <w:r w:rsidR="00CC484C" w:rsidRPr="008173C7">
        <w:rPr>
          <w:rFonts w:cs="Times New Roman"/>
          <w:lang w:val="en-US"/>
        </w:rPr>
        <w:t xml:space="preserve"> </w:t>
      </w:r>
      <w:r w:rsidR="00704DD7" w:rsidRPr="008173C7">
        <w:rPr>
          <w:rFonts w:cs="Times New Roman"/>
          <w:lang w:val="en-US"/>
        </w:rPr>
        <w:t xml:space="preserve">regarding </w:t>
      </w:r>
      <w:r w:rsidR="003B5402" w:rsidRPr="008173C7">
        <w:rPr>
          <w:rFonts w:cs="Times New Roman"/>
          <w:lang w:val="en-US"/>
        </w:rPr>
        <w:t xml:space="preserve">the </w:t>
      </w:r>
      <w:r w:rsidR="00704DD7" w:rsidRPr="008173C7">
        <w:rPr>
          <w:rFonts w:cs="Times New Roman"/>
          <w:lang w:val="en-US"/>
        </w:rPr>
        <w:t xml:space="preserve">evaluation </w:t>
      </w:r>
      <w:r w:rsidRPr="008173C7">
        <w:rPr>
          <w:rFonts w:cs="Times New Roman"/>
          <w:lang w:val="en-US"/>
        </w:rPr>
        <w:t>criteria.</w:t>
      </w:r>
      <w:r w:rsidR="00EE63A7" w:rsidRPr="008173C7">
        <w:rPr>
          <w:rFonts w:cs="Times New Roman"/>
          <w:lang w:val="en-US"/>
        </w:rPr>
        <w:t xml:space="preserve"> </w:t>
      </w:r>
    </w:p>
    <w:p w14:paraId="5DE9BECB" w14:textId="5F77C51E" w:rsidR="006E222D" w:rsidRPr="008173C7" w:rsidRDefault="00A6139F" w:rsidP="000401BB">
      <w:pPr>
        <w:pStyle w:val="Titre1"/>
        <w:numPr>
          <w:ilvl w:val="0"/>
          <w:numId w:val="13"/>
        </w:numPr>
        <w:spacing w:line="480" w:lineRule="auto"/>
        <w:rPr>
          <w:rFonts w:ascii="Times New Roman" w:hAnsi="Times New Roman" w:cs="Times New Roman"/>
          <w:color w:val="auto"/>
          <w:lang w:val="en-US"/>
        </w:rPr>
      </w:pPr>
      <w:r w:rsidRPr="008173C7">
        <w:rPr>
          <w:rFonts w:ascii="Times New Roman" w:hAnsi="Times New Roman" w:cs="Times New Roman"/>
          <w:color w:val="auto"/>
          <w:lang w:val="en-US"/>
        </w:rPr>
        <w:t>Analysis: t</w:t>
      </w:r>
      <w:r w:rsidR="006E222D" w:rsidRPr="008173C7">
        <w:rPr>
          <w:rFonts w:ascii="Times New Roman" w:hAnsi="Times New Roman" w:cs="Times New Roman"/>
          <w:color w:val="auto"/>
          <w:lang w:val="en-US"/>
        </w:rPr>
        <w:t>he rating scale</w:t>
      </w:r>
      <w:r w:rsidRPr="008173C7">
        <w:rPr>
          <w:rFonts w:ascii="Times New Roman" w:hAnsi="Times New Roman" w:cs="Times New Roman"/>
          <w:color w:val="auto"/>
          <w:lang w:val="en-US"/>
        </w:rPr>
        <w:t xml:space="preserve"> released</w:t>
      </w:r>
    </w:p>
    <w:p w14:paraId="1C1E7B20" w14:textId="3E6873EE" w:rsidR="00B35A44" w:rsidRPr="008173C7" w:rsidRDefault="003B5402" w:rsidP="000401BB">
      <w:pPr>
        <w:spacing w:line="480" w:lineRule="auto"/>
        <w:rPr>
          <w:rFonts w:cs="Times New Roman"/>
          <w:lang w:val="en-US"/>
        </w:rPr>
      </w:pPr>
      <w:r w:rsidRPr="008173C7">
        <w:rPr>
          <w:rFonts w:cs="Times New Roman"/>
          <w:lang w:val="en-US"/>
        </w:rPr>
        <w:t>This</w:t>
      </w:r>
      <w:r w:rsidR="00841D7A" w:rsidRPr="008173C7">
        <w:rPr>
          <w:rFonts w:cs="Times New Roman"/>
          <w:lang w:val="en-US"/>
        </w:rPr>
        <w:t xml:space="preserve"> process of criteria explication, sorting and</w:t>
      </w:r>
      <w:r w:rsidRPr="008173C7">
        <w:rPr>
          <w:rFonts w:cs="Times New Roman"/>
          <w:lang w:val="en-US"/>
        </w:rPr>
        <w:t xml:space="preserve"> </w:t>
      </w:r>
      <w:r w:rsidR="00841D7A" w:rsidRPr="008173C7">
        <w:rPr>
          <w:rFonts w:cs="Times New Roman"/>
          <w:lang w:val="en-US"/>
        </w:rPr>
        <w:t xml:space="preserve">hierarchizing </w:t>
      </w:r>
      <w:r w:rsidR="00B4562B" w:rsidRPr="008173C7">
        <w:rPr>
          <w:rFonts w:cs="Times New Roman"/>
          <w:lang w:val="en-US"/>
        </w:rPr>
        <w:t xml:space="preserve">resulted in </w:t>
      </w:r>
      <w:r w:rsidR="00382636" w:rsidRPr="008173C7">
        <w:rPr>
          <w:rFonts w:cs="Times New Roman"/>
          <w:lang w:val="en-US"/>
        </w:rPr>
        <w:t xml:space="preserve">a </w:t>
      </w:r>
      <w:r w:rsidR="006E222D" w:rsidRPr="008173C7">
        <w:rPr>
          <w:rFonts w:cs="Times New Roman"/>
          <w:lang w:val="en-US"/>
        </w:rPr>
        <w:t>five</w:t>
      </w:r>
      <w:r w:rsidR="00B4562B" w:rsidRPr="008173C7">
        <w:rPr>
          <w:rFonts w:cs="Times New Roman"/>
          <w:lang w:val="en-US"/>
        </w:rPr>
        <w:t>-</w:t>
      </w:r>
      <w:r w:rsidR="006E222D" w:rsidRPr="008173C7">
        <w:rPr>
          <w:rFonts w:cs="Times New Roman"/>
          <w:lang w:val="en-US"/>
        </w:rPr>
        <w:t xml:space="preserve">point </w:t>
      </w:r>
      <w:r w:rsidR="00C461C9" w:rsidRPr="008173C7">
        <w:rPr>
          <w:rFonts w:cs="Times New Roman"/>
          <w:lang w:val="en-US"/>
        </w:rPr>
        <w:t>rating scale</w:t>
      </w:r>
      <w:r w:rsidR="00173F24" w:rsidRPr="008173C7">
        <w:rPr>
          <w:rFonts w:cs="Times New Roman"/>
          <w:lang w:val="en-US"/>
        </w:rPr>
        <w:t xml:space="preserve"> </w:t>
      </w:r>
      <w:r w:rsidR="004E40C4" w:rsidRPr="008173C7">
        <w:rPr>
          <w:rFonts w:cs="Times New Roman"/>
          <w:lang w:val="en-US"/>
        </w:rPr>
        <w:t>for</w:t>
      </w:r>
      <w:r w:rsidR="006910D3" w:rsidRPr="008173C7">
        <w:rPr>
          <w:rFonts w:cs="Times New Roman"/>
          <w:lang w:val="en-US"/>
        </w:rPr>
        <w:t xml:space="preserve"> </w:t>
      </w:r>
      <w:r w:rsidR="00CF2089" w:rsidRPr="008173C7">
        <w:rPr>
          <w:rFonts w:cs="Times New Roman"/>
          <w:lang w:val="en-US"/>
        </w:rPr>
        <w:t xml:space="preserve">each dimension of </w:t>
      </w:r>
      <w:r w:rsidR="006910D3" w:rsidRPr="008173C7">
        <w:rPr>
          <w:rFonts w:cs="Times New Roman"/>
          <w:lang w:val="en-US"/>
        </w:rPr>
        <w:t xml:space="preserve">political impact </w:t>
      </w:r>
      <w:r w:rsidRPr="008173C7">
        <w:rPr>
          <w:rFonts w:cs="Times New Roman"/>
          <w:lang w:val="en-US"/>
        </w:rPr>
        <w:t xml:space="preserve">with </w:t>
      </w:r>
      <w:r w:rsidR="00BF396A" w:rsidRPr="008173C7">
        <w:rPr>
          <w:rFonts w:cs="Times New Roman"/>
          <w:lang w:val="en-US"/>
        </w:rPr>
        <w:t xml:space="preserve">each </w:t>
      </w:r>
      <w:r w:rsidRPr="008173C7">
        <w:rPr>
          <w:rFonts w:cs="Times New Roman"/>
          <w:lang w:val="en-US"/>
        </w:rPr>
        <w:t xml:space="preserve">ranking </w:t>
      </w:r>
      <w:r w:rsidR="00BF396A" w:rsidRPr="008173C7">
        <w:rPr>
          <w:rFonts w:cs="Times New Roman"/>
          <w:lang w:val="en-US"/>
        </w:rPr>
        <w:t xml:space="preserve">associated with </w:t>
      </w:r>
      <w:r w:rsidR="004E40C4" w:rsidRPr="008173C7">
        <w:rPr>
          <w:rFonts w:cs="Times New Roman"/>
          <w:lang w:val="en-US"/>
        </w:rPr>
        <w:t xml:space="preserve">related </w:t>
      </w:r>
      <w:r w:rsidR="00CC484C" w:rsidRPr="008173C7">
        <w:rPr>
          <w:rFonts w:cs="Times New Roman"/>
          <w:lang w:val="en-US"/>
        </w:rPr>
        <w:t>evidence</w:t>
      </w:r>
      <w:r w:rsidR="004E40C4" w:rsidRPr="008173C7">
        <w:rPr>
          <w:rFonts w:cs="Times New Roman"/>
          <w:lang w:val="en-US"/>
        </w:rPr>
        <w:t xml:space="preserve"> regarding </w:t>
      </w:r>
      <w:r w:rsidRPr="008173C7">
        <w:rPr>
          <w:rFonts w:cs="Times New Roman"/>
          <w:lang w:val="en-US"/>
        </w:rPr>
        <w:t xml:space="preserve">the </w:t>
      </w:r>
      <w:r w:rsidR="007F444A" w:rsidRPr="008173C7">
        <w:rPr>
          <w:rFonts w:cs="Times New Roman"/>
          <w:lang w:val="en-US"/>
        </w:rPr>
        <w:t xml:space="preserve">evaluation </w:t>
      </w:r>
      <w:r w:rsidR="00BF396A" w:rsidRPr="008173C7">
        <w:rPr>
          <w:rFonts w:cs="Times New Roman"/>
          <w:lang w:val="en-US"/>
        </w:rPr>
        <w:t>criteria</w:t>
      </w:r>
      <w:r w:rsidR="00841D7A" w:rsidRPr="008173C7">
        <w:rPr>
          <w:rFonts w:cs="Times New Roman"/>
          <w:lang w:val="en-US"/>
        </w:rPr>
        <w:t xml:space="preserve"> (</w:t>
      </w:r>
      <w:r w:rsidR="00B4562B" w:rsidRPr="008173C7">
        <w:rPr>
          <w:rFonts w:cs="Times New Roman"/>
          <w:lang w:val="en-US"/>
        </w:rPr>
        <w:t>t</w:t>
      </w:r>
      <w:r w:rsidR="00841D7A" w:rsidRPr="008173C7">
        <w:rPr>
          <w:rFonts w:cs="Times New Roman"/>
          <w:lang w:val="en-US"/>
        </w:rPr>
        <w:t>able</w:t>
      </w:r>
      <w:r w:rsidR="005B4B9B" w:rsidRPr="008173C7">
        <w:rPr>
          <w:rFonts w:cs="Times New Roman"/>
          <w:lang w:val="en-US"/>
        </w:rPr>
        <w:t>s</w:t>
      </w:r>
      <w:r w:rsidR="00841D7A" w:rsidRPr="008173C7">
        <w:rPr>
          <w:rFonts w:cs="Times New Roman"/>
          <w:lang w:val="en-US"/>
        </w:rPr>
        <w:t xml:space="preserve"> </w:t>
      </w:r>
      <w:r w:rsidR="00C23BE9" w:rsidRPr="008173C7">
        <w:rPr>
          <w:rFonts w:cs="Times New Roman"/>
          <w:lang w:val="en-US"/>
        </w:rPr>
        <w:t>3</w:t>
      </w:r>
      <w:r w:rsidR="00B35A44" w:rsidRPr="008173C7">
        <w:rPr>
          <w:rFonts w:cs="Times New Roman"/>
          <w:lang w:val="en-US"/>
        </w:rPr>
        <w:t>).</w:t>
      </w:r>
    </w:p>
    <w:p w14:paraId="27C151B6" w14:textId="77777777" w:rsidR="00B35A44" w:rsidRPr="008173C7" w:rsidRDefault="00B35A44" w:rsidP="000401BB">
      <w:pPr>
        <w:spacing w:line="480" w:lineRule="auto"/>
        <w:rPr>
          <w:rFonts w:cs="Times New Roman"/>
          <w:lang w:val="en-US"/>
        </w:rPr>
        <w:sectPr w:rsidR="00B35A44" w:rsidRPr="008173C7" w:rsidSect="00184273">
          <w:headerReference w:type="default" r:id="rId9"/>
          <w:footerReference w:type="default" r:id="rId10"/>
          <w:type w:val="continuous"/>
          <w:pgSz w:w="11906" w:h="16838"/>
          <w:pgMar w:top="1417" w:right="1417" w:bottom="1417" w:left="1417" w:header="708" w:footer="708" w:gutter="0"/>
          <w:cols w:space="708"/>
          <w:docGrid w:linePitch="360"/>
        </w:sectPr>
      </w:pPr>
    </w:p>
    <w:p w14:paraId="6C6A3CA9" w14:textId="77777777" w:rsidR="003A1C70" w:rsidRDefault="003A1C70" w:rsidP="00B35A44">
      <w:pPr>
        <w:spacing w:after="0" w:line="240" w:lineRule="auto"/>
        <w:rPr>
          <w:rFonts w:cs="Times New Roman"/>
          <w:lang w:val="en-US"/>
        </w:rPr>
      </w:pPr>
    </w:p>
    <w:p w14:paraId="7E233A0B" w14:textId="77777777" w:rsidR="003D6495" w:rsidRDefault="003D6495" w:rsidP="00B35A44">
      <w:pPr>
        <w:spacing w:after="0" w:line="240" w:lineRule="auto"/>
        <w:rPr>
          <w:rFonts w:cs="Times New Roman"/>
          <w:lang w:val="en-US"/>
        </w:rPr>
      </w:pPr>
    </w:p>
    <w:p w14:paraId="586646D3" w14:textId="77777777" w:rsidR="00B35A44" w:rsidRPr="008173C7" w:rsidRDefault="00B35A44" w:rsidP="00B35A44">
      <w:pPr>
        <w:spacing w:after="0" w:line="240" w:lineRule="auto"/>
        <w:rPr>
          <w:rFonts w:cs="Times New Roman"/>
          <w:lang w:val="en-US"/>
        </w:rPr>
      </w:pPr>
      <w:r w:rsidRPr="008173C7">
        <w:rPr>
          <w:rFonts w:cs="Times New Roman"/>
          <w:lang w:val="en-US"/>
        </w:rPr>
        <w:t xml:space="preserve">Table 3.1 Dimension </w:t>
      </w:r>
      <w:r w:rsidRPr="003A1C70">
        <w:rPr>
          <w:rFonts w:cs="Times New Roman"/>
          <w:i/>
          <w:lang w:val="en-US"/>
        </w:rPr>
        <w:t>Use in public debate and policy negotiation</w:t>
      </w:r>
    </w:p>
    <w:tbl>
      <w:tblPr>
        <w:tblStyle w:val="Trameclaire-Accent5"/>
        <w:tblpPr w:leftFromText="141" w:rightFromText="141" w:vertAnchor="text" w:horzAnchor="margin" w:tblpY="310"/>
        <w:tblW w:w="13858" w:type="dxa"/>
        <w:tblBorders>
          <w:top w:val="none" w:sz="0" w:space="0" w:color="auto"/>
          <w:bottom w:val="none" w:sz="0" w:space="0" w:color="auto"/>
          <w:insideH w:val="single" w:sz="8" w:space="0" w:color="auto"/>
        </w:tblBorders>
        <w:shd w:val="clear" w:color="auto" w:fill="FFFFFF" w:themeFill="background1"/>
        <w:tblLook w:val="04A0" w:firstRow="1" w:lastRow="0" w:firstColumn="1" w:lastColumn="0" w:noHBand="0" w:noVBand="1"/>
      </w:tblPr>
      <w:tblGrid>
        <w:gridCol w:w="1979"/>
        <w:gridCol w:w="2177"/>
        <w:gridCol w:w="2615"/>
        <w:gridCol w:w="2268"/>
        <w:gridCol w:w="2268"/>
        <w:gridCol w:w="1559"/>
        <w:gridCol w:w="992"/>
      </w:tblGrid>
      <w:tr w:rsidR="00771BF6" w:rsidRPr="008173C7" w14:paraId="51FDF78F" w14:textId="77777777" w:rsidTr="000279A7">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single" w:sz="8" w:space="0" w:color="auto"/>
            </w:tcBorders>
            <w:shd w:val="clear" w:color="auto" w:fill="FFFFFF" w:themeFill="background1"/>
            <w:hideMark/>
          </w:tcPr>
          <w:p w14:paraId="66B80270" w14:textId="77777777" w:rsidR="00B35A44" w:rsidRPr="008173C7" w:rsidRDefault="00B35A44" w:rsidP="00641FA9">
            <w:pPr>
              <w:rPr>
                <w:rFonts w:cs="Times New Roman"/>
                <w:color w:val="auto"/>
                <w:lang w:val="en-US"/>
              </w:rPr>
            </w:pPr>
          </w:p>
        </w:tc>
        <w:tc>
          <w:tcPr>
            <w:tcW w:w="2177" w:type="dxa"/>
            <w:tcBorders>
              <w:top w:val="nil"/>
              <w:bottom w:val="single" w:sz="8" w:space="0" w:color="auto"/>
            </w:tcBorders>
            <w:shd w:val="clear" w:color="auto" w:fill="FFFFFF" w:themeFill="background1"/>
          </w:tcPr>
          <w:p w14:paraId="3C427135"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c>
          <w:tcPr>
            <w:tcW w:w="2615" w:type="dxa"/>
            <w:tcBorders>
              <w:top w:val="nil"/>
              <w:bottom w:val="single" w:sz="8" w:space="0" w:color="auto"/>
            </w:tcBorders>
            <w:shd w:val="clear" w:color="auto" w:fill="FFFFFF" w:themeFill="background1"/>
          </w:tcPr>
          <w:p w14:paraId="5BFDD505"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4</w:t>
            </w:r>
          </w:p>
        </w:tc>
        <w:tc>
          <w:tcPr>
            <w:tcW w:w="2268" w:type="dxa"/>
            <w:tcBorders>
              <w:top w:val="nil"/>
              <w:bottom w:val="single" w:sz="8" w:space="0" w:color="auto"/>
            </w:tcBorders>
            <w:shd w:val="clear" w:color="auto" w:fill="FFFFFF" w:themeFill="background1"/>
          </w:tcPr>
          <w:p w14:paraId="33E207B2"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3</w:t>
            </w:r>
          </w:p>
        </w:tc>
        <w:tc>
          <w:tcPr>
            <w:tcW w:w="2268" w:type="dxa"/>
            <w:tcBorders>
              <w:top w:val="nil"/>
              <w:bottom w:val="single" w:sz="8" w:space="0" w:color="auto"/>
            </w:tcBorders>
            <w:shd w:val="clear" w:color="auto" w:fill="FFFFFF" w:themeFill="background1"/>
          </w:tcPr>
          <w:p w14:paraId="014DFA34"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2</w:t>
            </w:r>
          </w:p>
        </w:tc>
        <w:tc>
          <w:tcPr>
            <w:tcW w:w="1559" w:type="dxa"/>
            <w:tcBorders>
              <w:top w:val="nil"/>
              <w:bottom w:val="single" w:sz="8" w:space="0" w:color="auto"/>
              <w:right w:val="single" w:sz="8" w:space="0" w:color="auto"/>
            </w:tcBorders>
            <w:shd w:val="clear" w:color="auto" w:fill="FFFFFF" w:themeFill="background1"/>
          </w:tcPr>
          <w:p w14:paraId="27845BC2"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1</w:t>
            </w:r>
          </w:p>
        </w:tc>
        <w:tc>
          <w:tcPr>
            <w:tcW w:w="992" w:type="dxa"/>
            <w:tcBorders>
              <w:top w:val="nil"/>
              <w:left w:val="single" w:sz="8" w:space="0" w:color="auto"/>
              <w:bottom w:val="single" w:sz="8" w:space="0" w:color="auto"/>
            </w:tcBorders>
            <w:shd w:val="clear" w:color="auto" w:fill="FFFFFF" w:themeFill="background1"/>
            <w:vAlign w:val="center"/>
          </w:tcPr>
          <w:p w14:paraId="1BC0E42B"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Total</w:t>
            </w:r>
          </w:p>
        </w:tc>
      </w:tr>
      <w:tr w:rsidR="00771BF6" w:rsidRPr="008173C7" w14:paraId="696E8914" w14:textId="77777777" w:rsidTr="000279A7">
        <w:trPr>
          <w:cnfStyle w:val="000000100000" w:firstRow="0" w:lastRow="0" w:firstColumn="0" w:lastColumn="0" w:oddVBand="0" w:evenVBand="0" w:oddHBand="1" w:evenHBand="0" w:firstRowFirstColumn="0" w:firstRowLastColumn="0" w:lastRowFirstColumn="0" w:lastRowLastColumn="0"/>
          <w:trHeight w:val="2344"/>
        </w:trPr>
        <w:tc>
          <w:tcPr>
            <w:cnfStyle w:val="001000000000" w:firstRow="0" w:lastRow="0" w:firstColumn="1" w:lastColumn="0" w:oddVBand="0" w:evenVBand="0" w:oddHBand="0" w:evenHBand="0" w:firstRowFirstColumn="0" w:firstRowLastColumn="0" w:lastRowFirstColumn="0" w:lastRowLastColumn="0"/>
            <w:tcW w:w="1979" w:type="dxa"/>
            <w:tcBorders>
              <w:top w:val="single" w:sz="8" w:space="0" w:color="auto"/>
            </w:tcBorders>
            <w:shd w:val="clear" w:color="auto" w:fill="FFFFFF" w:themeFill="background1"/>
            <w:vAlign w:val="center"/>
          </w:tcPr>
          <w:p w14:paraId="170F1868" w14:textId="77777777" w:rsidR="00B35A44" w:rsidRPr="008173C7" w:rsidRDefault="00B35A44" w:rsidP="00641FA9">
            <w:pPr>
              <w:jc w:val="left"/>
              <w:rPr>
                <w:rFonts w:cs="Times New Roman"/>
                <w:color w:val="auto"/>
                <w:lang w:val="en-US"/>
              </w:rPr>
            </w:pPr>
            <w:r w:rsidRPr="008173C7">
              <w:rPr>
                <w:rFonts w:cs="Times New Roman"/>
                <w:color w:val="auto"/>
                <w:lang w:val="en-US"/>
              </w:rPr>
              <w:t>Quality and strength of research messages conveyed</w:t>
            </w:r>
          </w:p>
        </w:tc>
        <w:tc>
          <w:tcPr>
            <w:tcW w:w="2177" w:type="dxa"/>
            <w:tcBorders>
              <w:top w:val="single" w:sz="8" w:space="0" w:color="auto"/>
            </w:tcBorders>
            <w:shd w:val="clear" w:color="auto" w:fill="FFFFFF" w:themeFill="background1"/>
            <w:vAlign w:val="center"/>
          </w:tcPr>
          <w:p w14:paraId="39281BC8"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Original messages, easily traceable in the public debate</w:t>
            </w:r>
          </w:p>
          <w:p w14:paraId="52BEA4DE"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Strong credibility related to PRO reputation</w:t>
            </w:r>
          </w:p>
        </w:tc>
        <w:tc>
          <w:tcPr>
            <w:tcW w:w="2615" w:type="dxa"/>
            <w:tcBorders>
              <w:top w:val="single" w:sz="8" w:space="0" w:color="auto"/>
            </w:tcBorders>
            <w:shd w:val="clear" w:color="auto" w:fill="FFFFFF" w:themeFill="background1"/>
            <w:vAlign w:val="center"/>
          </w:tcPr>
          <w:p w14:paraId="76C7B0FC"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Messages easily traceable in the public debate</w:t>
            </w:r>
          </w:p>
          <w:p w14:paraId="65DDB9AB"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Original messages but arising from the state of the art rather than new research results</w:t>
            </w:r>
          </w:p>
          <w:p w14:paraId="0628B435"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OR Original knowledge but moderate credibility</w:t>
            </w:r>
          </w:p>
        </w:tc>
        <w:tc>
          <w:tcPr>
            <w:tcW w:w="2268" w:type="dxa"/>
            <w:tcBorders>
              <w:top w:val="single" w:sz="8" w:space="0" w:color="auto"/>
            </w:tcBorders>
            <w:shd w:val="clear" w:color="auto" w:fill="FFFFFF" w:themeFill="background1"/>
            <w:vAlign w:val="center"/>
          </w:tcPr>
          <w:p w14:paraId="62961BFC"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Messages easily traceable in the public debate</w:t>
            </w:r>
          </w:p>
          <w:p w14:paraId="33BC7E5F"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But weaknesses for some reasons : technical, legitimacy, ambiguity</w:t>
            </w:r>
          </w:p>
        </w:tc>
        <w:tc>
          <w:tcPr>
            <w:tcW w:w="2268" w:type="dxa"/>
            <w:tcBorders>
              <w:top w:val="single" w:sz="8" w:space="0" w:color="auto"/>
            </w:tcBorders>
            <w:shd w:val="clear" w:color="auto" w:fill="FFFFFF" w:themeFill="background1"/>
            <w:vAlign w:val="center"/>
          </w:tcPr>
          <w:p w14:paraId="6148C499"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Messages poorly traceable in the public debate</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3FAB035D"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Messages are not new</w:t>
            </w:r>
          </w:p>
        </w:tc>
        <w:tc>
          <w:tcPr>
            <w:tcW w:w="992" w:type="dxa"/>
            <w:tcBorders>
              <w:top w:val="single" w:sz="8" w:space="0" w:color="auto"/>
              <w:left w:val="single" w:sz="8" w:space="0" w:color="auto"/>
            </w:tcBorders>
            <w:shd w:val="clear" w:color="auto" w:fill="FFFFFF" w:themeFill="background1"/>
            <w:vAlign w:val="center"/>
          </w:tcPr>
          <w:p w14:paraId="1EACE233"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6F40037B" w14:textId="77777777" w:rsidTr="00641FA9">
        <w:trPr>
          <w:trHeight w:val="1416"/>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508DBA34" w14:textId="77777777" w:rsidR="00B35A44" w:rsidRPr="008173C7" w:rsidRDefault="00B35A44" w:rsidP="00641FA9">
            <w:pPr>
              <w:jc w:val="left"/>
              <w:rPr>
                <w:rFonts w:cs="Times New Roman"/>
                <w:color w:val="auto"/>
                <w:lang w:val="en-US"/>
              </w:rPr>
            </w:pPr>
            <w:r w:rsidRPr="008173C7">
              <w:rPr>
                <w:rFonts w:cs="Times New Roman"/>
                <w:color w:val="auto"/>
                <w:lang w:val="en-US"/>
              </w:rPr>
              <w:t>Timeliness of debate and political agenda-setting</w:t>
            </w:r>
          </w:p>
        </w:tc>
        <w:tc>
          <w:tcPr>
            <w:tcW w:w="2177" w:type="dxa"/>
            <w:shd w:val="clear" w:color="auto" w:fill="FFFFFF" w:themeFill="background1"/>
            <w:vAlign w:val="center"/>
          </w:tcPr>
          <w:p w14:paraId="682D32FB"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Agenda-setting of new questions</w:t>
            </w:r>
          </w:p>
          <w:p w14:paraId="2909BC13"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615" w:type="dxa"/>
            <w:shd w:val="clear" w:color="auto" w:fill="FFFFFF" w:themeFill="background1"/>
            <w:vAlign w:val="center"/>
          </w:tcPr>
          <w:p w14:paraId="7580E629"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Knowledge produced during a political or societal window of opportunity</w:t>
            </w:r>
          </w:p>
        </w:tc>
        <w:tc>
          <w:tcPr>
            <w:tcW w:w="2268" w:type="dxa"/>
            <w:shd w:val="clear" w:color="auto" w:fill="FFFFFF" w:themeFill="background1"/>
            <w:vAlign w:val="center"/>
          </w:tcPr>
          <w:p w14:paraId="6D0ABB1D"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Knowledge produced during a sectoral window of opportunity</w:t>
            </w:r>
          </w:p>
        </w:tc>
        <w:tc>
          <w:tcPr>
            <w:tcW w:w="2268" w:type="dxa"/>
            <w:shd w:val="clear" w:color="auto" w:fill="FFFFFF" w:themeFill="background1"/>
            <w:vAlign w:val="center"/>
          </w:tcPr>
          <w:p w14:paraId="4FB929EA"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Knowledge mediated during a sectoral or societal window of opportunity</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0D89E2E2"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Knowledge produced and mediated out of any agenda</w:t>
            </w:r>
          </w:p>
        </w:tc>
        <w:tc>
          <w:tcPr>
            <w:tcW w:w="992" w:type="dxa"/>
            <w:tcBorders>
              <w:left w:val="single" w:sz="8" w:space="0" w:color="auto"/>
            </w:tcBorders>
            <w:shd w:val="clear" w:color="auto" w:fill="FFFFFF" w:themeFill="background1"/>
            <w:vAlign w:val="center"/>
          </w:tcPr>
          <w:p w14:paraId="7DD1A8A7" w14:textId="77777777" w:rsidR="00B35A44" w:rsidRPr="008173C7" w:rsidRDefault="00B35A44" w:rsidP="00641FA9">
            <w:pPr>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13FA2A06" w14:textId="77777777" w:rsidTr="00641FA9">
        <w:trPr>
          <w:cnfStyle w:val="000000100000" w:firstRow="0" w:lastRow="0" w:firstColumn="0" w:lastColumn="0" w:oddVBand="0" w:evenVBand="0" w:oddHBand="1" w:evenHBand="0" w:firstRowFirstColumn="0" w:firstRowLastColumn="0" w:lastRowFirstColumn="0" w:lastRowLastColumn="0"/>
          <w:trHeight w:val="1861"/>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05D2666B" w14:textId="77777777" w:rsidR="00B35A44" w:rsidRPr="008173C7" w:rsidRDefault="00B35A44" w:rsidP="00641FA9">
            <w:pPr>
              <w:jc w:val="left"/>
              <w:rPr>
                <w:rFonts w:cs="Times New Roman"/>
                <w:color w:val="auto"/>
                <w:lang w:val="en-US"/>
              </w:rPr>
            </w:pPr>
            <w:r w:rsidRPr="008173C7">
              <w:rPr>
                <w:rFonts w:cs="Times New Roman"/>
                <w:color w:val="auto"/>
                <w:lang w:val="en-US"/>
              </w:rPr>
              <w:t>Intensity and quality of media coverage</w:t>
            </w:r>
          </w:p>
        </w:tc>
        <w:tc>
          <w:tcPr>
            <w:tcW w:w="2177" w:type="dxa"/>
            <w:shd w:val="clear" w:color="auto" w:fill="FFFFFF" w:themeFill="background1"/>
            <w:vAlign w:val="center"/>
          </w:tcPr>
          <w:p w14:paraId="73AFDD87"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Large media coverage to inform the general public and the stakeholders involved. Messages properly conveyed.</w:t>
            </w:r>
          </w:p>
        </w:tc>
        <w:tc>
          <w:tcPr>
            <w:tcW w:w="2615" w:type="dxa"/>
            <w:shd w:val="clear" w:color="auto" w:fill="FFFFFF" w:themeFill="background1"/>
            <w:vAlign w:val="center"/>
          </w:tcPr>
          <w:p w14:paraId="3CD268E6"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Large media coverage to the general public and the stakeholders involved. Messages properly conveyed, although with some slight cherry-picking</w:t>
            </w:r>
          </w:p>
        </w:tc>
        <w:tc>
          <w:tcPr>
            <w:tcW w:w="2268" w:type="dxa"/>
            <w:shd w:val="clear" w:color="auto" w:fill="FFFFFF" w:themeFill="background1"/>
            <w:vAlign w:val="center"/>
          </w:tcPr>
          <w:p w14:paraId="6F0F05C3"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Media coverage to sectoral stakeholders only.</w:t>
            </w:r>
          </w:p>
          <w:p w14:paraId="2E5CEB3F"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Messages properly conveyed</w:t>
            </w:r>
          </w:p>
        </w:tc>
        <w:tc>
          <w:tcPr>
            <w:tcW w:w="2268" w:type="dxa"/>
            <w:shd w:val="clear" w:color="auto" w:fill="FFFFFF" w:themeFill="background1"/>
            <w:vAlign w:val="center"/>
          </w:tcPr>
          <w:p w14:paraId="3DB9AED2"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Incomplete media coverage to sectoral stakeholders</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17748D73"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No or very small media coverage</w:t>
            </w:r>
          </w:p>
        </w:tc>
        <w:tc>
          <w:tcPr>
            <w:tcW w:w="992" w:type="dxa"/>
            <w:tcBorders>
              <w:left w:val="single" w:sz="8" w:space="0" w:color="auto"/>
            </w:tcBorders>
            <w:shd w:val="clear" w:color="auto" w:fill="FFFFFF" w:themeFill="background1"/>
            <w:vAlign w:val="center"/>
          </w:tcPr>
          <w:p w14:paraId="6D63427A"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526714CA" w14:textId="77777777" w:rsidTr="00641FA9">
        <w:trPr>
          <w:trHeight w:val="445"/>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7F2AEAA3" w14:textId="77777777" w:rsidR="00B35A44" w:rsidRPr="008173C7" w:rsidRDefault="00B35A44" w:rsidP="00641FA9">
            <w:pPr>
              <w:jc w:val="left"/>
              <w:rPr>
                <w:rFonts w:cs="Times New Roman"/>
                <w:color w:val="auto"/>
                <w:lang w:val="en-US"/>
              </w:rPr>
            </w:pPr>
            <w:r w:rsidRPr="008173C7">
              <w:rPr>
                <w:rFonts w:cs="Times New Roman"/>
                <w:color w:val="auto"/>
                <w:lang w:val="en-US"/>
              </w:rPr>
              <w:t>Intensity and quality of debate</w:t>
            </w:r>
          </w:p>
        </w:tc>
        <w:tc>
          <w:tcPr>
            <w:tcW w:w="2177" w:type="dxa"/>
            <w:shd w:val="clear" w:color="auto" w:fill="FFFFFF" w:themeFill="background1"/>
            <w:vAlign w:val="center"/>
          </w:tcPr>
          <w:p w14:paraId="2C7873D7"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Large public debate</w:t>
            </w:r>
          </w:p>
          <w:p w14:paraId="2400C5EA"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The debate involves the whole spatially relevant political sphere</w:t>
            </w:r>
          </w:p>
        </w:tc>
        <w:tc>
          <w:tcPr>
            <w:tcW w:w="2615" w:type="dxa"/>
            <w:shd w:val="clear" w:color="auto" w:fill="FFFFFF" w:themeFill="background1"/>
            <w:vAlign w:val="center"/>
          </w:tcPr>
          <w:p w14:paraId="4CB56E6F"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Large public debate</w:t>
            </w:r>
          </w:p>
          <w:p w14:paraId="675A7CA7"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The debate partially involves the spatially relevant political sphere</w:t>
            </w:r>
          </w:p>
        </w:tc>
        <w:tc>
          <w:tcPr>
            <w:tcW w:w="2268" w:type="dxa"/>
            <w:shd w:val="clear" w:color="auto" w:fill="FFFFFF" w:themeFill="background1"/>
            <w:vAlign w:val="center"/>
          </w:tcPr>
          <w:p w14:paraId="156CF4D4"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Broad sectoral debate at relevant spatial level, but no public debate</w:t>
            </w:r>
          </w:p>
        </w:tc>
        <w:tc>
          <w:tcPr>
            <w:tcW w:w="2268" w:type="dxa"/>
            <w:shd w:val="clear" w:color="auto" w:fill="FFFFFF" w:themeFill="background1"/>
            <w:vAlign w:val="center"/>
          </w:tcPr>
          <w:p w14:paraId="0FF91A8C"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Scattered debates with no territorial or sectoral relevance</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627C22CE"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Restricted debate, no public debate</w:t>
            </w:r>
          </w:p>
        </w:tc>
        <w:tc>
          <w:tcPr>
            <w:tcW w:w="992" w:type="dxa"/>
            <w:tcBorders>
              <w:left w:val="single" w:sz="8" w:space="0" w:color="auto"/>
            </w:tcBorders>
            <w:shd w:val="clear" w:color="auto" w:fill="FFFFFF" w:themeFill="background1"/>
            <w:vAlign w:val="center"/>
          </w:tcPr>
          <w:p w14:paraId="4F5030A5" w14:textId="77777777" w:rsidR="00B35A44" w:rsidRPr="008173C7" w:rsidRDefault="00B35A44" w:rsidP="00641FA9">
            <w:pPr>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4EECA950" w14:textId="77777777" w:rsidTr="00641FA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tcPr>
          <w:p w14:paraId="579563F8" w14:textId="77777777" w:rsidR="00B35A44" w:rsidRPr="008173C7" w:rsidRDefault="00B35A44" w:rsidP="00641FA9">
            <w:pPr>
              <w:rPr>
                <w:rFonts w:cs="Times New Roman"/>
                <w:color w:val="auto"/>
                <w:lang w:val="en-US"/>
              </w:rPr>
            </w:pPr>
          </w:p>
        </w:tc>
        <w:tc>
          <w:tcPr>
            <w:tcW w:w="2177" w:type="dxa"/>
            <w:shd w:val="clear" w:color="auto" w:fill="FFFFFF" w:themeFill="background1"/>
          </w:tcPr>
          <w:p w14:paraId="19291217" w14:textId="77777777" w:rsidR="00B35A44" w:rsidRPr="008173C7" w:rsidRDefault="00B35A44" w:rsidP="00641FA9">
            <w:pP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2615" w:type="dxa"/>
            <w:shd w:val="clear" w:color="auto" w:fill="FFFFFF" w:themeFill="background1"/>
          </w:tcPr>
          <w:p w14:paraId="57A7AC89" w14:textId="77777777" w:rsidR="00B35A44" w:rsidRPr="008173C7" w:rsidRDefault="00B35A44" w:rsidP="00641FA9">
            <w:pP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2268" w:type="dxa"/>
            <w:shd w:val="clear" w:color="auto" w:fill="FFFFFF" w:themeFill="background1"/>
          </w:tcPr>
          <w:p w14:paraId="5692D5BD" w14:textId="77777777" w:rsidR="00B35A44" w:rsidRPr="008173C7" w:rsidRDefault="00B35A44" w:rsidP="00641FA9">
            <w:pP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2268" w:type="dxa"/>
            <w:shd w:val="clear" w:color="auto" w:fill="FFFFFF" w:themeFill="background1"/>
          </w:tcPr>
          <w:p w14:paraId="5A1EA8EC" w14:textId="77777777" w:rsidR="00B35A44" w:rsidRPr="008173C7" w:rsidRDefault="00B35A44" w:rsidP="00641FA9">
            <w:pP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1559" w:type="dxa"/>
            <w:tcBorders>
              <w:top w:val="single" w:sz="8" w:space="0" w:color="auto"/>
              <w:bottom w:val="nil"/>
              <w:right w:val="single" w:sz="8" w:space="0" w:color="auto"/>
            </w:tcBorders>
            <w:shd w:val="clear" w:color="auto" w:fill="FFFFFF" w:themeFill="background1"/>
          </w:tcPr>
          <w:p w14:paraId="654349D6" w14:textId="77777777" w:rsidR="00B35A44" w:rsidRPr="008173C7" w:rsidRDefault="00B35A44" w:rsidP="00641FA9">
            <w:pP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992" w:type="dxa"/>
            <w:tcBorders>
              <w:left w:val="single" w:sz="8" w:space="0" w:color="auto"/>
            </w:tcBorders>
            <w:shd w:val="clear" w:color="auto" w:fill="FFFFFF" w:themeFill="background1"/>
            <w:vAlign w:val="center"/>
          </w:tcPr>
          <w:p w14:paraId="61748A5B" w14:textId="77777777" w:rsidR="00B35A44" w:rsidRPr="008173C7" w:rsidRDefault="00B35A44" w:rsidP="00641FA9">
            <w:pPr>
              <w:ind w:left="-108" w:right="-108"/>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Total average /5</w:t>
            </w:r>
          </w:p>
        </w:tc>
      </w:tr>
    </w:tbl>
    <w:p w14:paraId="68283D40" w14:textId="77777777" w:rsidR="00B35A44" w:rsidRPr="008173C7" w:rsidRDefault="00B35A44" w:rsidP="00B35A44">
      <w:pPr>
        <w:jc w:val="left"/>
        <w:rPr>
          <w:rFonts w:cs="Times New Roman"/>
          <w:lang w:val="en-US"/>
        </w:rPr>
      </w:pPr>
    </w:p>
    <w:p w14:paraId="6AC29C42" w14:textId="529700D7" w:rsidR="000279A7" w:rsidRDefault="000279A7">
      <w:pPr>
        <w:jc w:val="left"/>
        <w:rPr>
          <w:rFonts w:cs="Times New Roman"/>
          <w:lang w:val="en-US"/>
        </w:rPr>
      </w:pPr>
      <w:r>
        <w:rPr>
          <w:rFonts w:cs="Times New Roman"/>
          <w:lang w:val="en-US"/>
        </w:rPr>
        <w:br w:type="page"/>
      </w:r>
    </w:p>
    <w:p w14:paraId="46F19247" w14:textId="77777777" w:rsidR="00B35A44" w:rsidRPr="008173C7" w:rsidRDefault="00B35A44" w:rsidP="00B35A44">
      <w:pPr>
        <w:jc w:val="left"/>
        <w:rPr>
          <w:rFonts w:cs="Times New Roman"/>
          <w:lang w:val="en-US"/>
        </w:rPr>
      </w:pPr>
    </w:p>
    <w:p w14:paraId="3C8582C3" w14:textId="77777777" w:rsidR="00B35A44" w:rsidRPr="003A1C70" w:rsidRDefault="00B35A44" w:rsidP="00B35A44">
      <w:pPr>
        <w:spacing w:after="0" w:line="240" w:lineRule="auto"/>
        <w:rPr>
          <w:rFonts w:cs="Times New Roman"/>
          <w:i/>
          <w:lang w:val="en-US"/>
        </w:rPr>
      </w:pPr>
      <w:r w:rsidRPr="008173C7">
        <w:rPr>
          <w:rFonts w:cs="Times New Roman"/>
          <w:lang w:val="en-US"/>
        </w:rPr>
        <w:t xml:space="preserve">Table 3.2. Dimension </w:t>
      </w:r>
      <w:r w:rsidRPr="003A1C70">
        <w:rPr>
          <w:rFonts w:cs="Times New Roman"/>
          <w:i/>
          <w:lang w:val="en-US"/>
        </w:rPr>
        <w:t>Use for policy-making</w:t>
      </w:r>
    </w:p>
    <w:tbl>
      <w:tblPr>
        <w:tblStyle w:val="Trameclaire-Accent5"/>
        <w:tblpPr w:leftFromText="141" w:rightFromText="141" w:vertAnchor="text" w:horzAnchor="margin" w:tblpY="310"/>
        <w:tblW w:w="13858" w:type="dxa"/>
        <w:tblBorders>
          <w:top w:val="none" w:sz="0" w:space="0" w:color="auto"/>
          <w:bottom w:val="none" w:sz="0" w:space="0" w:color="auto"/>
          <w:insideH w:val="single" w:sz="8" w:space="0" w:color="auto"/>
        </w:tblBorders>
        <w:shd w:val="clear" w:color="auto" w:fill="FFFFFF" w:themeFill="background1"/>
        <w:tblLook w:val="04A0" w:firstRow="1" w:lastRow="0" w:firstColumn="1" w:lastColumn="0" w:noHBand="0" w:noVBand="1"/>
      </w:tblPr>
      <w:tblGrid>
        <w:gridCol w:w="1979"/>
        <w:gridCol w:w="2524"/>
        <w:gridCol w:w="2693"/>
        <w:gridCol w:w="2514"/>
        <w:gridCol w:w="1597"/>
        <w:gridCol w:w="1559"/>
        <w:gridCol w:w="992"/>
      </w:tblGrid>
      <w:tr w:rsidR="00771BF6" w:rsidRPr="008173C7" w14:paraId="3E316873" w14:textId="77777777" w:rsidTr="00641FA9">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79" w:type="dxa"/>
            <w:tcBorders>
              <w:top w:val="nil"/>
              <w:bottom w:val="single" w:sz="8" w:space="0" w:color="auto"/>
            </w:tcBorders>
            <w:shd w:val="clear" w:color="auto" w:fill="FFFFFF" w:themeFill="background1"/>
            <w:hideMark/>
          </w:tcPr>
          <w:p w14:paraId="68F64BED" w14:textId="77777777" w:rsidR="00B35A44" w:rsidRPr="008173C7" w:rsidRDefault="00B35A44" w:rsidP="00641FA9">
            <w:pPr>
              <w:rPr>
                <w:rFonts w:cs="Times New Roman"/>
                <w:color w:val="auto"/>
                <w:lang w:val="en-US"/>
              </w:rPr>
            </w:pPr>
          </w:p>
        </w:tc>
        <w:tc>
          <w:tcPr>
            <w:tcW w:w="2524" w:type="dxa"/>
            <w:tcBorders>
              <w:top w:val="nil"/>
              <w:bottom w:val="single" w:sz="8" w:space="0" w:color="auto"/>
            </w:tcBorders>
            <w:shd w:val="clear" w:color="auto" w:fill="FFFFFF" w:themeFill="background1"/>
          </w:tcPr>
          <w:p w14:paraId="4BCBC22D"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c>
          <w:tcPr>
            <w:tcW w:w="2693" w:type="dxa"/>
            <w:tcBorders>
              <w:top w:val="nil"/>
              <w:bottom w:val="single" w:sz="8" w:space="0" w:color="auto"/>
            </w:tcBorders>
            <w:shd w:val="clear" w:color="auto" w:fill="FFFFFF" w:themeFill="background1"/>
          </w:tcPr>
          <w:p w14:paraId="62E51495"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4</w:t>
            </w:r>
          </w:p>
        </w:tc>
        <w:tc>
          <w:tcPr>
            <w:tcW w:w="2514" w:type="dxa"/>
            <w:tcBorders>
              <w:top w:val="nil"/>
              <w:bottom w:val="single" w:sz="8" w:space="0" w:color="auto"/>
            </w:tcBorders>
            <w:shd w:val="clear" w:color="auto" w:fill="FFFFFF" w:themeFill="background1"/>
          </w:tcPr>
          <w:p w14:paraId="095388F9"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3</w:t>
            </w:r>
          </w:p>
        </w:tc>
        <w:tc>
          <w:tcPr>
            <w:tcW w:w="1597" w:type="dxa"/>
            <w:tcBorders>
              <w:top w:val="nil"/>
              <w:bottom w:val="single" w:sz="8" w:space="0" w:color="auto"/>
            </w:tcBorders>
            <w:shd w:val="clear" w:color="auto" w:fill="FFFFFF" w:themeFill="background1"/>
          </w:tcPr>
          <w:p w14:paraId="64BA8110"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2</w:t>
            </w:r>
          </w:p>
        </w:tc>
        <w:tc>
          <w:tcPr>
            <w:tcW w:w="1559" w:type="dxa"/>
            <w:tcBorders>
              <w:top w:val="nil"/>
              <w:bottom w:val="single" w:sz="8" w:space="0" w:color="auto"/>
              <w:right w:val="single" w:sz="8" w:space="0" w:color="auto"/>
            </w:tcBorders>
            <w:shd w:val="clear" w:color="auto" w:fill="FFFFFF" w:themeFill="background1"/>
          </w:tcPr>
          <w:p w14:paraId="61F61D06"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1</w:t>
            </w:r>
          </w:p>
        </w:tc>
        <w:tc>
          <w:tcPr>
            <w:tcW w:w="992" w:type="dxa"/>
            <w:tcBorders>
              <w:top w:val="nil"/>
              <w:left w:val="single" w:sz="8" w:space="0" w:color="auto"/>
              <w:bottom w:val="single" w:sz="8" w:space="0" w:color="auto"/>
            </w:tcBorders>
            <w:shd w:val="clear" w:color="auto" w:fill="FFFFFF" w:themeFill="background1"/>
            <w:vAlign w:val="center"/>
          </w:tcPr>
          <w:p w14:paraId="39C463B2"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Total</w:t>
            </w:r>
          </w:p>
        </w:tc>
      </w:tr>
      <w:tr w:rsidR="00771BF6" w:rsidRPr="008173C7" w14:paraId="0D4C8506" w14:textId="77777777" w:rsidTr="00641FA9">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1979" w:type="dxa"/>
            <w:tcBorders>
              <w:top w:val="single" w:sz="8" w:space="0" w:color="auto"/>
            </w:tcBorders>
            <w:shd w:val="clear" w:color="auto" w:fill="FFFFFF" w:themeFill="background1"/>
            <w:vAlign w:val="center"/>
          </w:tcPr>
          <w:p w14:paraId="0880D3E1" w14:textId="77777777" w:rsidR="00B35A44" w:rsidRPr="008173C7" w:rsidRDefault="00B35A44" w:rsidP="00641FA9">
            <w:pPr>
              <w:jc w:val="left"/>
              <w:rPr>
                <w:rFonts w:cs="Times New Roman"/>
                <w:color w:val="auto"/>
                <w:lang w:val="en-US"/>
              </w:rPr>
            </w:pPr>
            <w:r w:rsidRPr="008173C7">
              <w:rPr>
                <w:rFonts w:cs="Times New Roman"/>
                <w:color w:val="auto"/>
                <w:lang w:val="en-US"/>
              </w:rPr>
              <w:t>Stages of the policy cycle affected: agenda-setting, formulation, implementation and evaluation of policies</w:t>
            </w:r>
          </w:p>
        </w:tc>
        <w:tc>
          <w:tcPr>
            <w:tcW w:w="2524" w:type="dxa"/>
            <w:tcBorders>
              <w:top w:val="single" w:sz="8" w:space="0" w:color="auto"/>
            </w:tcBorders>
            <w:shd w:val="clear" w:color="auto" w:fill="FFFFFF" w:themeFill="background1"/>
            <w:vAlign w:val="center"/>
          </w:tcPr>
          <w:p w14:paraId="514D18E2"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Use at all stages of the national policy cycle (agenda-setting, formulation, implementation and evaluation of policies)</w:t>
            </w:r>
          </w:p>
        </w:tc>
        <w:tc>
          <w:tcPr>
            <w:tcW w:w="2693" w:type="dxa"/>
            <w:tcBorders>
              <w:top w:val="single" w:sz="8" w:space="0" w:color="auto"/>
            </w:tcBorders>
            <w:shd w:val="clear" w:color="auto" w:fill="FFFFFF" w:themeFill="background1"/>
            <w:vAlign w:val="center"/>
          </w:tcPr>
          <w:p w14:paraId="15C06E25"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Important use at some but not all stages of the national policy cycle</w:t>
            </w:r>
          </w:p>
        </w:tc>
        <w:tc>
          <w:tcPr>
            <w:tcW w:w="2514" w:type="dxa"/>
            <w:tcBorders>
              <w:top w:val="single" w:sz="8" w:space="0" w:color="auto"/>
            </w:tcBorders>
            <w:shd w:val="clear" w:color="auto" w:fill="FFFFFF" w:themeFill="background1"/>
            <w:vAlign w:val="center"/>
          </w:tcPr>
          <w:p w14:paraId="124E4554"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Contribution to the design of local implementation of a national policy</w:t>
            </w:r>
          </w:p>
          <w:p w14:paraId="5FC670B8"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1597" w:type="dxa"/>
            <w:tcBorders>
              <w:top w:val="single" w:sz="8" w:space="0" w:color="auto"/>
            </w:tcBorders>
            <w:shd w:val="clear" w:color="auto" w:fill="FFFFFF" w:themeFill="background1"/>
            <w:vAlign w:val="center"/>
          </w:tcPr>
          <w:p w14:paraId="5ADF2E71"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Contribution to the design of local implementation of local policy</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3F057899"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Minor use of knowledge in the policy cycle</w:t>
            </w:r>
          </w:p>
          <w:p w14:paraId="4FF04D5D"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992" w:type="dxa"/>
            <w:tcBorders>
              <w:top w:val="single" w:sz="8" w:space="0" w:color="auto"/>
              <w:left w:val="single" w:sz="8" w:space="0" w:color="auto"/>
            </w:tcBorders>
            <w:shd w:val="clear" w:color="auto" w:fill="FFFFFF" w:themeFill="background1"/>
            <w:vAlign w:val="center"/>
          </w:tcPr>
          <w:p w14:paraId="50D4C313"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459727A7" w14:textId="77777777" w:rsidTr="00641FA9">
        <w:trPr>
          <w:trHeight w:val="1736"/>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4B97F7D8" w14:textId="77777777" w:rsidR="00B35A44" w:rsidRPr="008173C7" w:rsidRDefault="00B35A44" w:rsidP="00641FA9">
            <w:pPr>
              <w:jc w:val="left"/>
              <w:rPr>
                <w:rFonts w:cs="Times New Roman"/>
                <w:color w:val="auto"/>
                <w:lang w:val="en-US"/>
              </w:rPr>
            </w:pPr>
            <w:r w:rsidRPr="008173C7">
              <w:rPr>
                <w:rFonts w:cs="Times New Roman"/>
                <w:color w:val="auto"/>
                <w:lang w:val="en-US"/>
              </w:rPr>
              <w:t>Territorial scales of policies affected</w:t>
            </w:r>
          </w:p>
        </w:tc>
        <w:tc>
          <w:tcPr>
            <w:tcW w:w="2524" w:type="dxa"/>
            <w:shd w:val="clear" w:color="auto" w:fill="FFFFFF" w:themeFill="background1"/>
            <w:vAlign w:val="center"/>
          </w:tcPr>
          <w:p w14:paraId="200BE9F2"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Important use at all the spatial scales relevant for implementing the whole policy cycle (local, national, international)</w:t>
            </w:r>
          </w:p>
        </w:tc>
        <w:tc>
          <w:tcPr>
            <w:tcW w:w="2693" w:type="dxa"/>
            <w:shd w:val="clear" w:color="auto" w:fill="FFFFFF" w:themeFill="background1"/>
            <w:vAlign w:val="center"/>
          </w:tcPr>
          <w:p w14:paraId="041A9F8A"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Use at some but not all spatial scales concerned with policy (e.g. tools enabling the local monitoring of international commitments, but no national effect)</w:t>
            </w:r>
          </w:p>
        </w:tc>
        <w:tc>
          <w:tcPr>
            <w:tcW w:w="2514" w:type="dxa"/>
            <w:shd w:val="clear" w:color="auto" w:fill="FFFFFF" w:themeFill="background1"/>
            <w:vAlign w:val="center"/>
          </w:tcPr>
          <w:p w14:paraId="0C673492"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Use is uneven but concerns a variety of national, sectoral, and local stakeholders</w:t>
            </w:r>
          </w:p>
        </w:tc>
        <w:tc>
          <w:tcPr>
            <w:tcW w:w="1597" w:type="dxa"/>
            <w:shd w:val="clear" w:color="auto" w:fill="FFFFFF" w:themeFill="background1"/>
            <w:vAlign w:val="center"/>
          </w:tcPr>
          <w:p w14:paraId="6E588ACB"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Use is uneven. It concerns some local sectoral stakeholders</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55D19212"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Very few uses, even for local policies</w:t>
            </w:r>
          </w:p>
        </w:tc>
        <w:tc>
          <w:tcPr>
            <w:tcW w:w="992" w:type="dxa"/>
            <w:tcBorders>
              <w:left w:val="single" w:sz="8" w:space="0" w:color="auto"/>
            </w:tcBorders>
            <w:shd w:val="clear" w:color="auto" w:fill="FFFFFF" w:themeFill="background1"/>
            <w:vAlign w:val="center"/>
          </w:tcPr>
          <w:p w14:paraId="63DD8DD6" w14:textId="77777777" w:rsidR="00B35A44" w:rsidRPr="008173C7" w:rsidRDefault="00B35A44" w:rsidP="00641FA9">
            <w:pPr>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46FE6ED8" w14:textId="77777777" w:rsidTr="00641FA9">
        <w:trPr>
          <w:cnfStyle w:val="000000100000" w:firstRow="0" w:lastRow="0" w:firstColumn="0" w:lastColumn="0" w:oddVBand="0" w:evenVBand="0" w:oddHBand="1" w:evenHBand="0" w:firstRowFirstColumn="0" w:firstRowLastColumn="0" w:lastRowFirstColumn="0" w:lastRowLastColumn="0"/>
          <w:trHeight w:val="3221"/>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52D9147F" w14:textId="77777777" w:rsidR="00B35A44" w:rsidRPr="008173C7" w:rsidRDefault="00B35A44" w:rsidP="00641FA9">
            <w:pPr>
              <w:jc w:val="left"/>
              <w:rPr>
                <w:rFonts w:cs="Times New Roman"/>
                <w:color w:val="auto"/>
                <w:lang w:val="en-US"/>
              </w:rPr>
            </w:pPr>
            <w:r w:rsidRPr="008173C7">
              <w:rPr>
                <w:rFonts w:cs="Times New Roman"/>
                <w:color w:val="auto"/>
                <w:lang w:val="en-US"/>
              </w:rPr>
              <w:t>Relevance and novelty of the solution provided for the policy</w:t>
            </w:r>
          </w:p>
        </w:tc>
        <w:tc>
          <w:tcPr>
            <w:tcW w:w="2524" w:type="dxa"/>
            <w:shd w:val="clear" w:color="auto" w:fill="FFFFFF" w:themeFill="background1"/>
            <w:vAlign w:val="center"/>
          </w:tcPr>
          <w:p w14:paraId="6CF43C60"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A new political solution, largely inspired by the scientific knowledge produced.</w:t>
            </w:r>
          </w:p>
          <w:p w14:paraId="70BD32D2"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The political solution is of such relevance that it is used simultaneous by public and private sectors (in the last case, it is a technical solution to comply with public policy)</w:t>
            </w:r>
          </w:p>
        </w:tc>
        <w:tc>
          <w:tcPr>
            <w:tcW w:w="2693" w:type="dxa"/>
            <w:shd w:val="clear" w:color="auto" w:fill="FFFFFF" w:themeFill="background1"/>
            <w:vAlign w:val="center"/>
          </w:tcPr>
          <w:p w14:paraId="25539D8C"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A new political solution, largely inspired by the scientific knowledge produced.</w:t>
            </w:r>
          </w:p>
          <w:p w14:paraId="13CFD60F"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The political solution is relevant and is used by public and private actors (in the latter case, it is a technical solution to comply with public policy)</w:t>
            </w:r>
          </w:p>
        </w:tc>
        <w:tc>
          <w:tcPr>
            <w:tcW w:w="2514" w:type="dxa"/>
            <w:shd w:val="clear" w:color="auto" w:fill="FFFFFF" w:themeFill="background1"/>
            <w:vAlign w:val="center"/>
          </w:tcPr>
          <w:p w14:paraId="2753BAE4"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A new political solution but just one among existing others. The solution is inspired partly by scientific knowledge but credibility related to PRO reputation facilitates use of the political solution. No effect on the private sector.</w:t>
            </w:r>
          </w:p>
          <w:p w14:paraId="52359492"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p>
        </w:tc>
        <w:tc>
          <w:tcPr>
            <w:tcW w:w="1597" w:type="dxa"/>
            <w:shd w:val="clear" w:color="auto" w:fill="FFFFFF" w:themeFill="background1"/>
            <w:vAlign w:val="center"/>
          </w:tcPr>
          <w:p w14:paraId="6C917369"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One political solution among others, partly inspired by scientific knowledge, but poorly used.</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23058333"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One political solution among others, largely unexploited</w:t>
            </w:r>
          </w:p>
        </w:tc>
        <w:tc>
          <w:tcPr>
            <w:tcW w:w="992" w:type="dxa"/>
            <w:tcBorders>
              <w:left w:val="single" w:sz="8" w:space="0" w:color="auto"/>
            </w:tcBorders>
            <w:shd w:val="clear" w:color="auto" w:fill="FFFFFF" w:themeFill="background1"/>
            <w:vAlign w:val="center"/>
          </w:tcPr>
          <w:p w14:paraId="2586FF57"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66E0BFCD" w14:textId="77777777" w:rsidTr="00641FA9">
        <w:trPr>
          <w:trHeight w:val="445"/>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29EF1DD3" w14:textId="77777777" w:rsidR="00B35A44" w:rsidRPr="008173C7" w:rsidRDefault="00B35A44" w:rsidP="00641FA9">
            <w:pPr>
              <w:jc w:val="left"/>
              <w:rPr>
                <w:rFonts w:cs="Times New Roman"/>
                <w:color w:val="auto"/>
                <w:lang w:val="en-US"/>
              </w:rPr>
            </w:pPr>
          </w:p>
        </w:tc>
        <w:tc>
          <w:tcPr>
            <w:tcW w:w="2524" w:type="dxa"/>
            <w:shd w:val="clear" w:color="auto" w:fill="FFFFFF" w:themeFill="background1"/>
            <w:vAlign w:val="center"/>
          </w:tcPr>
          <w:p w14:paraId="5557FAD2"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693" w:type="dxa"/>
            <w:shd w:val="clear" w:color="auto" w:fill="FFFFFF" w:themeFill="background1"/>
            <w:vAlign w:val="center"/>
          </w:tcPr>
          <w:p w14:paraId="2B3E3BF5"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514" w:type="dxa"/>
            <w:shd w:val="clear" w:color="auto" w:fill="FFFFFF" w:themeFill="background1"/>
            <w:vAlign w:val="center"/>
          </w:tcPr>
          <w:p w14:paraId="0D8EEE8A"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1597" w:type="dxa"/>
            <w:shd w:val="clear" w:color="auto" w:fill="FFFFFF" w:themeFill="background1"/>
            <w:vAlign w:val="center"/>
          </w:tcPr>
          <w:p w14:paraId="3F61D104"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1559" w:type="dxa"/>
            <w:tcBorders>
              <w:top w:val="single" w:sz="8" w:space="0" w:color="auto"/>
              <w:bottom w:val="nil"/>
              <w:right w:val="single" w:sz="8" w:space="0" w:color="auto"/>
            </w:tcBorders>
            <w:shd w:val="clear" w:color="auto" w:fill="FFFFFF" w:themeFill="background1"/>
            <w:vAlign w:val="center"/>
          </w:tcPr>
          <w:p w14:paraId="269C58BA"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992" w:type="dxa"/>
            <w:tcBorders>
              <w:left w:val="single" w:sz="8" w:space="0" w:color="auto"/>
            </w:tcBorders>
            <w:shd w:val="clear" w:color="auto" w:fill="FFFFFF" w:themeFill="background1"/>
            <w:vAlign w:val="center"/>
          </w:tcPr>
          <w:p w14:paraId="57049BFB" w14:textId="77777777" w:rsidR="00B35A44" w:rsidRPr="008173C7" w:rsidRDefault="00B35A44" w:rsidP="00641FA9">
            <w:pPr>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Total average /5</w:t>
            </w:r>
          </w:p>
        </w:tc>
      </w:tr>
    </w:tbl>
    <w:p w14:paraId="572B1096" w14:textId="77777777" w:rsidR="00B35A44" w:rsidRPr="008173C7" w:rsidRDefault="00B35A44" w:rsidP="00B35A44">
      <w:pPr>
        <w:jc w:val="left"/>
        <w:rPr>
          <w:rFonts w:cs="Times New Roman"/>
          <w:lang w:val="en-US"/>
        </w:rPr>
      </w:pPr>
      <w:r w:rsidRPr="008173C7">
        <w:rPr>
          <w:rFonts w:cs="Times New Roman"/>
          <w:lang w:val="en-US"/>
        </w:rPr>
        <w:br w:type="page"/>
      </w:r>
    </w:p>
    <w:p w14:paraId="1407057D" w14:textId="77777777" w:rsidR="003A1C70" w:rsidRDefault="003A1C70" w:rsidP="00B35A44">
      <w:pPr>
        <w:spacing w:after="0" w:line="240" w:lineRule="auto"/>
        <w:rPr>
          <w:rFonts w:cs="Times New Roman"/>
          <w:lang w:val="en-US"/>
        </w:rPr>
      </w:pPr>
    </w:p>
    <w:p w14:paraId="2A2820A9" w14:textId="77777777" w:rsidR="00B35A44" w:rsidRPr="003A1C70" w:rsidRDefault="00B35A44" w:rsidP="00B35A44">
      <w:pPr>
        <w:spacing w:after="0" w:line="240" w:lineRule="auto"/>
        <w:rPr>
          <w:rFonts w:cs="Times New Roman"/>
          <w:i/>
          <w:lang w:val="en-US"/>
        </w:rPr>
      </w:pPr>
      <w:r w:rsidRPr="008173C7">
        <w:rPr>
          <w:rFonts w:cs="Times New Roman"/>
          <w:lang w:val="en-US"/>
        </w:rPr>
        <w:t xml:space="preserve">Table 3.3. Dimension </w:t>
      </w:r>
      <w:r w:rsidRPr="003A1C70">
        <w:rPr>
          <w:rFonts w:cs="Times New Roman"/>
          <w:i/>
          <w:lang w:val="en-US"/>
        </w:rPr>
        <w:t>Long-term percolation of ideas</w:t>
      </w:r>
    </w:p>
    <w:tbl>
      <w:tblPr>
        <w:tblStyle w:val="Trameclaire-Accent5"/>
        <w:tblpPr w:leftFromText="141" w:rightFromText="141" w:vertAnchor="text" w:horzAnchor="margin" w:tblpY="310"/>
        <w:tblW w:w="13858" w:type="dxa"/>
        <w:tblBorders>
          <w:top w:val="none" w:sz="0" w:space="0" w:color="auto"/>
          <w:bottom w:val="none" w:sz="0" w:space="0" w:color="auto"/>
          <w:insideH w:val="single" w:sz="8" w:space="0" w:color="auto"/>
        </w:tblBorders>
        <w:shd w:val="clear" w:color="auto" w:fill="FFFFFF" w:themeFill="background1"/>
        <w:tblLayout w:type="fixed"/>
        <w:tblLook w:val="04A0" w:firstRow="1" w:lastRow="0" w:firstColumn="1" w:lastColumn="0" w:noHBand="0" w:noVBand="1"/>
      </w:tblPr>
      <w:tblGrid>
        <w:gridCol w:w="1242"/>
        <w:gridCol w:w="2694"/>
        <w:gridCol w:w="2409"/>
        <w:gridCol w:w="2268"/>
        <w:gridCol w:w="2268"/>
        <w:gridCol w:w="2127"/>
        <w:gridCol w:w="850"/>
      </w:tblGrid>
      <w:tr w:rsidR="00771BF6" w:rsidRPr="008173C7" w14:paraId="12B659DE" w14:textId="77777777" w:rsidTr="00641FA9">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242" w:type="dxa"/>
            <w:tcBorders>
              <w:top w:val="nil"/>
              <w:bottom w:val="single" w:sz="8" w:space="0" w:color="auto"/>
            </w:tcBorders>
            <w:shd w:val="clear" w:color="auto" w:fill="FFFFFF" w:themeFill="background1"/>
            <w:hideMark/>
          </w:tcPr>
          <w:p w14:paraId="6079C8E3" w14:textId="77777777" w:rsidR="00B35A44" w:rsidRPr="008173C7" w:rsidRDefault="00B35A44" w:rsidP="00641FA9">
            <w:pPr>
              <w:rPr>
                <w:rFonts w:cs="Times New Roman"/>
                <w:color w:val="auto"/>
                <w:lang w:val="en-US"/>
              </w:rPr>
            </w:pPr>
          </w:p>
        </w:tc>
        <w:tc>
          <w:tcPr>
            <w:tcW w:w="2694" w:type="dxa"/>
            <w:tcBorders>
              <w:top w:val="nil"/>
              <w:bottom w:val="single" w:sz="8" w:space="0" w:color="auto"/>
            </w:tcBorders>
            <w:shd w:val="clear" w:color="auto" w:fill="FFFFFF" w:themeFill="background1"/>
          </w:tcPr>
          <w:p w14:paraId="3B1C8FF8"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c>
          <w:tcPr>
            <w:tcW w:w="2409" w:type="dxa"/>
            <w:tcBorders>
              <w:top w:val="nil"/>
              <w:bottom w:val="single" w:sz="8" w:space="0" w:color="auto"/>
            </w:tcBorders>
            <w:shd w:val="clear" w:color="auto" w:fill="FFFFFF" w:themeFill="background1"/>
          </w:tcPr>
          <w:p w14:paraId="51CBFF53"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4</w:t>
            </w:r>
          </w:p>
        </w:tc>
        <w:tc>
          <w:tcPr>
            <w:tcW w:w="2268" w:type="dxa"/>
            <w:tcBorders>
              <w:top w:val="nil"/>
              <w:bottom w:val="single" w:sz="8" w:space="0" w:color="auto"/>
            </w:tcBorders>
            <w:shd w:val="clear" w:color="auto" w:fill="FFFFFF" w:themeFill="background1"/>
          </w:tcPr>
          <w:p w14:paraId="1A0EF204"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3</w:t>
            </w:r>
          </w:p>
        </w:tc>
        <w:tc>
          <w:tcPr>
            <w:tcW w:w="2268" w:type="dxa"/>
            <w:tcBorders>
              <w:top w:val="nil"/>
              <w:bottom w:val="single" w:sz="8" w:space="0" w:color="auto"/>
            </w:tcBorders>
            <w:shd w:val="clear" w:color="auto" w:fill="FFFFFF" w:themeFill="background1"/>
          </w:tcPr>
          <w:p w14:paraId="4A673548"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2</w:t>
            </w:r>
          </w:p>
        </w:tc>
        <w:tc>
          <w:tcPr>
            <w:tcW w:w="2127" w:type="dxa"/>
            <w:tcBorders>
              <w:top w:val="nil"/>
              <w:bottom w:val="single" w:sz="8" w:space="0" w:color="auto"/>
              <w:right w:val="single" w:sz="8" w:space="0" w:color="auto"/>
            </w:tcBorders>
            <w:shd w:val="clear" w:color="auto" w:fill="FFFFFF" w:themeFill="background1"/>
          </w:tcPr>
          <w:p w14:paraId="7473DCFA"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1</w:t>
            </w:r>
          </w:p>
        </w:tc>
        <w:tc>
          <w:tcPr>
            <w:tcW w:w="850" w:type="dxa"/>
            <w:tcBorders>
              <w:top w:val="nil"/>
              <w:left w:val="single" w:sz="8" w:space="0" w:color="auto"/>
              <w:bottom w:val="single" w:sz="8" w:space="0" w:color="auto"/>
            </w:tcBorders>
            <w:shd w:val="clear" w:color="auto" w:fill="FFFFFF" w:themeFill="background1"/>
            <w:vAlign w:val="center"/>
          </w:tcPr>
          <w:p w14:paraId="1BF14A26" w14:textId="77777777" w:rsidR="00B35A44" w:rsidRPr="008173C7" w:rsidRDefault="00B35A44" w:rsidP="00641FA9">
            <w:pPr>
              <w:ind w:left="-108" w:right="-108"/>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Total</w:t>
            </w:r>
          </w:p>
        </w:tc>
      </w:tr>
      <w:tr w:rsidR="00771BF6" w:rsidRPr="008173C7" w14:paraId="489D7181" w14:textId="77777777" w:rsidTr="00641FA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auto"/>
            </w:tcBorders>
            <w:shd w:val="clear" w:color="auto" w:fill="FFFFFF" w:themeFill="background1"/>
            <w:vAlign w:val="center"/>
          </w:tcPr>
          <w:p w14:paraId="78A246C1" w14:textId="77777777" w:rsidR="00B35A44" w:rsidRPr="008173C7" w:rsidRDefault="00B35A44" w:rsidP="00641FA9">
            <w:pPr>
              <w:ind w:right="-108"/>
              <w:jc w:val="left"/>
              <w:rPr>
                <w:rFonts w:cs="Times New Roman"/>
                <w:color w:val="auto"/>
                <w:lang w:val="en-US"/>
              </w:rPr>
            </w:pPr>
            <w:r w:rsidRPr="008173C7">
              <w:rPr>
                <w:rFonts w:cs="Times New Roman"/>
                <w:color w:val="auto"/>
                <w:lang w:val="en-US"/>
              </w:rPr>
              <w:t>Importance of knowledge in debate</w:t>
            </w:r>
          </w:p>
        </w:tc>
        <w:tc>
          <w:tcPr>
            <w:tcW w:w="2694" w:type="dxa"/>
            <w:tcBorders>
              <w:top w:val="single" w:sz="8" w:space="0" w:color="auto"/>
            </w:tcBorders>
            <w:shd w:val="clear" w:color="auto" w:fill="FFFFFF" w:themeFill="background1"/>
            <w:vAlign w:val="center"/>
          </w:tcPr>
          <w:p w14:paraId="0481414B"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Likely contribution to shifting the terms of important debate.</w:t>
            </w:r>
          </w:p>
          <w:p w14:paraId="6DB2925D"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Reduced tension among major stakeholders in debate.</w:t>
            </w:r>
          </w:p>
          <w:p w14:paraId="76A5FBDC"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Changes to some professional identities or positions assumed by stakeholder institutions</w:t>
            </w:r>
          </w:p>
        </w:tc>
        <w:tc>
          <w:tcPr>
            <w:tcW w:w="2409" w:type="dxa"/>
            <w:tcBorders>
              <w:top w:val="single" w:sz="8" w:space="0" w:color="auto"/>
            </w:tcBorders>
            <w:shd w:val="clear" w:color="auto" w:fill="FFFFFF" w:themeFill="background1"/>
            <w:vAlign w:val="center"/>
          </w:tcPr>
          <w:p w14:paraId="58BC0D59"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 xml:space="preserve">Probable contribution to changing the terms of important debate. </w:t>
            </w:r>
          </w:p>
          <w:p w14:paraId="4158F4DC"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Few changes to professional identities or positions of institutions but developing internal debate over disputed questions</w:t>
            </w:r>
          </w:p>
        </w:tc>
        <w:tc>
          <w:tcPr>
            <w:tcW w:w="2268" w:type="dxa"/>
            <w:tcBorders>
              <w:top w:val="single" w:sz="8" w:space="0" w:color="auto"/>
            </w:tcBorders>
            <w:shd w:val="clear" w:color="auto" w:fill="FFFFFF" w:themeFill="background1"/>
            <w:vAlign w:val="center"/>
          </w:tcPr>
          <w:p w14:paraId="0CB67A7C"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 xml:space="preserve">Probable short-term contribution to debate with limited scope. </w:t>
            </w:r>
          </w:p>
          <w:p w14:paraId="4F85A35D"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Development of some internal debates and heterodox positions. Existing positions are reinforced by the scientific status of knowledge</w:t>
            </w:r>
          </w:p>
        </w:tc>
        <w:tc>
          <w:tcPr>
            <w:tcW w:w="2268" w:type="dxa"/>
            <w:tcBorders>
              <w:top w:val="single" w:sz="8" w:space="0" w:color="auto"/>
            </w:tcBorders>
            <w:shd w:val="clear" w:color="auto" w:fill="FFFFFF" w:themeFill="background1"/>
            <w:vAlign w:val="center"/>
          </w:tcPr>
          <w:p w14:paraId="54D90917"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Little change expected to the terms of debate (ideas already outdated) but existing positions reinforced by scientific status.</w:t>
            </w:r>
          </w:p>
          <w:p w14:paraId="253E9D2F"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Knowledge may be used in other policy areas</w:t>
            </w:r>
          </w:p>
        </w:tc>
        <w:tc>
          <w:tcPr>
            <w:tcW w:w="2127" w:type="dxa"/>
            <w:tcBorders>
              <w:top w:val="single" w:sz="8" w:space="0" w:color="auto"/>
              <w:bottom w:val="single" w:sz="8" w:space="0" w:color="auto"/>
              <w:right w:val="single" w:sz="8" w:space="0" w:color="auto"/>
            </w:tcBorders>
            <w:shd w:val="clear" w:color="auto" w:fill="FFFFFF" w:themeFill="background1"/>
            <w:vAlign w:val="center"/>
          </w:tcPr>
          <w:p w14:paraId="6E20E824"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 xml:space="preserve">No changes expected in the terms of debate (ideas already outdated), </w:t>
            </w:r>
          </w:p>
          <w:p w14:paraId="7F76A5A2"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No possibilities for knowledge to be used in other policy areas</w:t>
            </w:r>
          </w:p>
        </w:tc>
        <w:tc>
          <w:tcPr>
            <w:tcW w:w="850" w:type="dxa"/>
            <w:tcBorders>
              <w:top w:val="single" w:sz="8" w:space="0" w:color="auto"/>
              <w:left w:val="single" w:sz="8" w:space="0" w:color="auto"/>
            </w:tcBorders>
            <w:shd w:val="clear" w:color="auto" w:fill="FFFFFF" w:themeFill="background1"/>
            <w:vAlign w:val="center"/>
          </w:tcPr>
          <w:p w14:paraId="05BD4219"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4351D0E3" w14:textId="77777777" w:rsidTr="00641FA9">
        <w:trPr>
          <w:trHeight w:val="1736"/>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vAlign w:val="center"/>
          </w:tcPr>
          <w:p w14:paraId="5B183316" w14:textId="77777777" w:rsidR="00B35A44" w:rsidRPr="008173C7" w:rsidRDefault="00B35A44" w:rsidP="00641FA9">
            <w:pPr>
              <w:ind w:right="-108"/>
              <w:jc w:val="left"/>
              <w:rPr>
                <w:rFonts w:cs="Times New Roman"/>
                <w:color w:val="auto"/>
                <w:lang w:val="en-US"/>
              </w:rPr>
            </w:pPr>
            <w:r w:rsidRPr="008173C7">
              <w:rPr>
                <w:rFonts w:cs="Times New Roman"/>
                <w:color w:val="auto"/>
                <w:lang w:val="en-US"/>
              </w:rPr>
              <w:t>Circulation of ideas in later debates/ studies, and broader spheres</w:t>
            </w:r>
          </w:p>
        </w:tc>
        <w:tc>
          <w:tcPr>
            <w:tcW w:w="2694" w:type="dxa"/>
            <w:shd w:val="clear" w:color="auto" w:fill="FFFFFF" w:themeFill="background1"/>
            <w:vAlign w:val="center"/>
          </w:tcPr>
          <w:p w14:paraId="4A6CA8EF" w14:textId="77777777" w:rsidR="00B35A44" w:rsidRPr="008173C7" w:rsidRDefault="00B35A44" w:rsidP="003A1C70">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Rapid and sustained percolation of ideas to broad sectoral, scientific, and global audiences at the national and international levels</w:t>
            </w:r>
          </w:p>
        </w:tc>
        <w:tc>
          <w:tcPr>
            <w:tcW w:w="2409" w:type="dxa"/>
            <w:shd w:val="clear" w:color="auto" w:fill="FFFFFF" w:themeFill="background1"/>
            <w:vAlign w:val="center"/>
          </w:tcPr>
          <w:p w14:paraId="4599BFC7" w14:textId="77777777" w:rsidR="00B35A44" w:rsidRPr="008173C7" w:rsidRDefault="00B35A44" w:rsidP="003A1C70">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Sustained but slower and more uneven percolation of ideas. Sectoral, scientific and general audience, and the national and international levels are alternatively affected</w:t>
            </w:r>
          </w:p>
        </w:tc>
        <w:tc>
          <w:tcPr>
            <w:tcW w:w="2268" w:type="dxa"/>
            <w:shd w:val="clear" w:color="auto" w:fill="FFFFFF" w:themeFill="background1"/>
            <w:vAlign w:val="center"/>
          </w:tcPr>
          <w:p w14:paraId="365EFECC" w14:textId="77777777" w:rsidR="00B35A44" w:rsidRPr="008173C7" w:rsidRDefault="00B35A44" w:rsidP="003A1C70">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Sustained but slow and very incomplete percolation: affecting only one audience (scientific/sectoral/ general), at the national level</w:t>
            </w:r>
          </w:p>
        </w:tc>
        <w:tc>
          <w:tcPr>
            <w:tcW w:w="2268" w:type="dxa"/>
            <w:shd w:val="clear" w:color="auto" w:fill="FFFFFF" w:themeFill="background1"/>
            <w:vAlign w:val="center"/>
          </w:tcPr>
          <w:p w14:paraId="7561B937" w14:textId="77777777" w:rsidR="00B35A44" w:rsidRPr="008173C7" w:rsidRDefault="00B35A44" w:rsidP="003A1C70">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Slow but quite sustained percolation of ideas in scientific arenas</w:t>
            </w:r>
          </w:p>
        </w:tc>
        <w:tc>
          <w:tcPr>
            <w:tcW w:w="2127" w:type="dxa"/>
            <w:tcBorders>
              <w:top w:val="single" w:sz="8" w:space="0" w:color="auto"/>
              <w:bottom w:val="single" w:sz="8" w:space="0" w:color="auto"/>
              <w:right w:val="single" w:sz="8" w:space="0" w:color="auto"/>
            </w:tcBorders>
            <w:shd w:val="clear" w:color="auto" w:fill="FFFFFF" w:themeFill="background1"/>
            <w:vAlign w:val="center"/>
          </w:tcPr>
          <w:p w14:paraId="410B5C68" w14:textId="77777777" w:rsidR="00B35A44" w:rsidRPr="008173C7" w:rsidRDefault="00B35A44" w:rsidP="003A1C70">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Punctual, opportunistic percolation of ideas</w:t>
            </w:r>
          </w:p>
        </w:tc>
        <w:tc>
          <w:tcPr>
            <w:tcW w:w="850" w:type="dxa"/>
            <w:tcBorders>
              <w:left w:val="single" w:sz="8" w:space="0" w:color="auto"/>
            </w:tcBorders>
            <w:shd w:val="clear" w:color="auto" w:fill="FFFFFF" w:themeFill="background1"/>
            <w:vAlign w:val="center"/>
          </w:tcPr>
          <w:p w14:paraId="6BE4CB22" w14:textId="77777777" w:rsidR="00B35A44" w:rsidRPr="008173C7" w:rsidRDefault="00B35A44" w:rsidP="00641FA9">
            <w:pPr>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4B32F8F7" w14:textId="77777777" w:rsidTr="003A1C70">
        <w:trPr>
          <w:cnfStyle w:val="000000100000" w:firstRow="0" w:lastRow="0" w:firstColumn="0" w:lastColumn="0" w:oddVBand="0" w:evenVBand="0" w:oddHBand="1" w:evenHBand="0" w:firstRowFirstColumn="0" w:firstRowLastColumn="0" w:lastRowFirstColumn="0" w:lastRowLastColumn="0"/>
          <w:trHeight w:val="3231"/>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vAlign w:val="center"/>
          </w:tcPr>
          <w:p w14:paraId="34C75FC5" w14:textId="77777777" w:rsidR="00B35A44" w:rsidRPr="008173C7" w:rsidRDefault="00B35A44" w:rsidP="00641FA9">
            <w:pPr>
              <w:ind w:right="-108"/>
              <w:jc w:val="left"/>
              <w:rPr>
                <w:rFonts w:cs="Times New Roman"/>
                <w:color w:val="auto"/>
                <w:lang w:val="en-US"/>
              </w:rPr>
            </w:pPr>
            <w:r w:rsidRPr="008173C7">
              <w:rPr>
                <w:rFonts w:cs="Times New Roman"/>
                <w:color w:val="auto"/>
                <w:lang w:val="en-US"/>
              </w:rPr>
              <w:t>Long-term relevance of ideas and non-distortion of messages</w:t>
            </w:r>
          </w:p>
        </w:tc>
        <w:tc>
          <w:tcPr>
            <w:tcW w:w="2694" w:type="dxa"/>
            <w:shd w:val="clear" w:color="auto" w:fill="FFFFFF" w:themeFill="background1"/>
            <w:vAlign w:val="center"/>
          </w:tcPr>
          <w:p w14:paraId="5FB1D118"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Very low risk of messages being distorted over the long-term thanks to: the PRO's established reputation as a scientific referent; Strong traceability of ideas affiliated to the PRO; Sustained involvement of the PRO and individual researchers in research and intermediation activities.</w:t>
            </w:r>
          </w:p>
          <w:p w14:paraId="43AF7F54"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Strong relevance/ resilience of ideas over the long run</w:t>
            </w:r>
          </w:p>
        </w:tc>
        <w:tc>
          <w:tcPr>
            <w:tcW w:w="2409" w:type="dxa"/>
            <w:shd w:val="clear" w:color="auto" w:fill="FFFFFF" w:themeFill="background1"/>
            <w:vAlign w:val="center"/>
          </w:tcPr>
          <w:p w14:paraId="3EB48BCA"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Low risk of distortion over the long-term thanks to the PRO's and individual researchers’ reputation, sustained involvement in research and intermediation; but ideas poorly traceable due to their origins in an individual researcher rather than the PRO.</w:t>
            </w:r>
          </w:p>
          <w:p w14:paraId="2F6388CB"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Rapid obsolescence of ideas</w:t>
            </w:r>
          </w:p>
        </w:tc>
        <w:tc>
          <w:tcPr>
            <w:tcW w:w="2268" w:type="dxa"/>
            <w:shd w:val="clear" w:color="auto" w:fill="FFFFFF" w:themeFill="background1"/>
            <w:vAlign w:val="center"/>
          </w:tcPr>
          <w:p w14:paraId="1883A75E"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Moderate risk of distortion over the long-term: PRO's and individual researchers sustained involvement in research and intermediation; but PRO has no scientific excellence in the domain at stake and ideas poorly traceable.</w:t>
            </w:r>
          </w:p>
          <w:p w14:paraId="0DB88FE7"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Rapid obsolescence of ideas</w:t>
            </w:r>
          </w:p>
        </w:tc>
        <w:tc>
          <w:tcPr>
            <w:tcW w:w="2268" w:type="dxa"/>
            <w:shd w:val="clear" w:color="auto" w:fill="FFFFFF" w:themeFill="background1"/>
            <w:vAlign w:val="center"/>
          </w:tcPr>
          <w:p w14:paraId="7C7540B8"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High risk of distortion over the long-term: Sustained involvement of individual researchers in intermediation but no sustained funding of research; the PRO is not scientifically renowned in the domain; ideas poorly traceable.</w:t>
            </w:r>
          </w:p>
          <w:p w14:paraId="3940CEB3"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Rapid obsolescence of ideas</w:t>
            </w:r>
          </w:p>
        </w:tc>
        <w:tc>
          <w:tcPr>
            <w:tcW w:w="2127" w:type="dxa"/>
            <w:tcBorders>
              <w:top w:val="single" w:sz="8" w:space="0" w:color="auto"/>
              <w:bottom w:val="single" w:sz="8" w:space="0" w:color="auto"/>
              <w:right w:val="single" w:sz="8" w:space="0" w:color="auto"/>
            </w:tcBorders>
            <w:shd w:val="clear" w:color="auto" w:fill="FFFFFF" w:themeFill="background1"/>
            <w:vAlign w:val="center"/>
          </w:tcPr>
          <w:p w14:paraId="06468C9C" w14:textId="77777777" w:rsidR="00B35A44" w:rsidRPr="008173C7" w:rsidRDefault="00B35A44" w:rsidP="003A1C70">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Very high risk of distortion over the long-term: Punctual involvement of the PRO and its researchers in research and intermediation; PRO is not scientifically renowned in the domain; ideas poorly traceable. The relevance of ideas already contested</w:t>
            </w:r>
          </w:p>
        </w:tc>
        <w:tc>
          <w:tcPr>
            <w:tcW w:w="850" w:type="dxa"/>
            <w:tcBorders>
              <w:left w:val="single" w:sz="8" w:space="0" w:color="auto"/>
            </w:tcBorders>
            <w:shd w:val="clear" w:color="auto" w:fill="FFFFFF" w:themeFill="background1"/>
            <w:vAlign w:val="center"/>
          </w:tcPr>
          <w:p w14:paraId="5B8CFF82"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6257917C" w14:textId="77777777" w:rsidTr="00641FA9">
        <w:trPr>
          <w:trHeight w:val="271"/>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vAlign w:val="center"/>
          </w:tcPr>
          <w:p w14:paraId="7D85F44B" w14:textId="77777777" w:rsidR="00B35A44" w:rsidRPr="008173C7" w:rsidRDefault="00B35A44" w:rsidP="00641FA9">
            <w:pPr>
              <w:jc w:val="left"/>
              <w:rPr>
                <w:rFonts w:cs="Times New Roman"/>
                <w:color w:val="auto"/>
                <w:lang w:val="en-US"/>
              </w:rPr>
            </w:pPr>
          </w:p>
        </w:tc>
        <w:tc>
          <w:tcPr>
            <w:tcW w:w="2694" w:type="dxa"/>
            <w:shd w:val="clear" w:color="auto" w:fill="FFFFFF" w:themeFill="background1"/>
            <w:vAlign w:val="center"/>
          </w:tcPr>
          <w:p w14:paraId="16F9D5EA"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409" w:type="dxa"/>
            <w:shd w:val="clear" w:color="auto" w:fill="FFFFFF" w:themeFill="background1"/>
            <w:vAlign w:val="center"/>
          </w:tcPr>
          <w:p w14:paraId="09901E72"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268" w:type="dxa"/>
            <w:shd w:val="clear" w:color="auto" w:fill="FFFFFF" w:themeFill="background1"/>
            <w:vAlign w:val="center"/>
          </w:tcPr>
          <w:p w14:paraId="78ECA3DF"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268" w:type="dxa"/>
            <w:shd w:val="clear" w:color="auto" w:fill="FFFFFF" w:themeFill="background1"/>
            <w:vAlign w:val="center"/>
          </w:tcPr>
          <w:p w14:paraId="2957A583"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127" w:type="dxa"/>
            <w:tcBorders>
              <w:top w:val="single" w:sz="8" w:space="0" w:color="auto"/>
              <w:bottom w:val="nil"/>
              <w:right w:val="single" w:sz="8" w:space="0" w:color="auto"/>
            </w:tcBorders>
            <w:shd w:val="clear" w:color="auto" w:fill="FFFFFF" w:themeFill="background1"/>
            <w:vAlign w:val="center"/>
          </w:tcPr>
          <w:p w14:paraId="2275640A"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850" w:type="dxa"/>
            <w:tcBorders>
              <w:left w:val="single" w:sz="8" w:space="0" w:color="auto"/>
            </w:tcBorders>
            <w:shd w:val="clear" w:color="auto" w:fill="FFFFFF" w:themeFill="background1"/>
            <w:vAlign w:val="center"/>
          </w:tcPr>
          <w:p w14:paraId="0C8B981F" w14:textId="77777777" w:rsidR="00B35A44" w:rsidRPr="008173C7" w:rsidRDefault="00B35A44" w:rsidP="00641FA9">
            <w:pPr>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Total average /5</w:t>
            </w:r>
          </w:p>
        </w:tc>
      </w:tr>
    </w:tbl>
    <w:p w14:paraId="40CFE9D8" w14:textId="77777777" w:rsidR="000279A7" w:rsidRDefault="000279A7" w:rsidP="00B35A44">
      <w:pPr>
        <w:spacing w:line="240" w:lineRule="auto"/>
        <w:rPr>
          <w:rFonts w:cs="Times New Roman"/>
          <w:lang w:val="en-US"/>
        </w:rPr>
      </w:pPr>
    </w:p>
    <w:p w14:paraId="6BAB5F43" w14:textId="77777777" w:rsidR="000279A7" w:rsidRDefault="000279A7">
      <w:pPr>
        <w:jc w:val="left"/>
        <w:rPr>
          <w:rFonts w:cs="Times New Roman"/>
          <w:lang w:val="en-US"/>
        </w:rPr>
      </w:pPr>
      <w:r>
        <w:rPr>
          <w:rFonts w:cs="Times New Roman"/>
          <w:lang w:val="en-US"/>
        </w:rPr>
        <w:br w:type="page"/>
      </w:r>
    </w:p>
    <w:p w14:paraId="2AEE5386" w14:textId="77777777" w:rsidR="003A1C70" w:rsidRDefault="003A1C70" w:rsidP="00B35A44">
      <w:pPr>
        <w:spacing w:line="240" w:lineRule="auto"/>
        <w:rPr>
          <w:rFonts w:cs="Times New Roman"/>
          <w:lang w:val="en-US"/>
        </w:rPr>
      </w:pPr>
    </w:p>
    <w:p w14:paraId="5475330A" w14:textId="034AE7CD" w:rsidR="00B35A44" w:rsidRPr="008173C7" w:rsidRDefault="00B35A44" w:rsidP="00B35A44">
      <w:pPr>
        <w:spacing w:line="240" w:lineRule="auto"/>
        <w:rPr>
          <w:rFonts w:cs="Times New Roman"/>
          <w:lang w:val="en-US"/>
        </w:rPr>
      </w:pPr>
      <w:r w:rsidRPr="008173C7">
        <w:rPr>
          <w:rFonts w:cs="Times New Roman"/>
          <w:lang w:val="en-US"/>
        </w:rPr>
        <w:t xml:space="preserve">Table 3.4. Dimension </w:t>
      </w:r>
      <w:r w:rsidRPr="003A1C70">
        <w:rPr>
          <w:rFonts w:cs="Times New Roman"/>
          <w:i/>
          <w:lang w:val="en-US"/>
        </w:rPr>
        <w:t>S</w:t>
      </w:r>
      <w:r w:rsidRPr="003A1C70" w:rsidDel="00B70EAB">
        <w:rPr>
          <w:rFonts w:cs="Times New Roman"/>
          <w:i/>
          <w:lang w:val="en-US"/>
        </w:rPr>
        <w:t>ocietal importance of the policy domain at stakes</w:t>
      </w:r>
    </w:p>
    <w:tbl>
      <w:tblPr>
        <w:tblStyle w:val="Trameclaire-Accent5"/>
        <w:tblpPr w:leftFromText="141" w:rightFromText="141" w:vertAnchor="text" w:horzAnchor="margin" w:tblpY="310"/>
        <w:tblW w:w="13858" w:type="dxa"/>
        <w:tblBorders>
          <w:top w:val="none" w:sz="0" w:space="0" w:color="auto"/>
          <w:bottom w:val="none" w:sz="0" w:space="0" w:color="auto"/>
          <w:insideH w:val="single" w:sz="8" w:space="0" w:color="auto"/>
        </w:tblBorders>
        <w:shd w:val="clear" w:color="auto" w:fill="FFFFFF" w:themeFill="background1"/>
        <w:tblLook w:val="04A0" w:firstRow="1" w:lastRow="0" w:firstColumn="1" w:lastColumn="0" w:noHBand="0" w:noVBand="1"/>
      </w:tblPr>
      <w:tblGrid>
        <w:gridCol w:w="1979"/>
        <w:gridCol w:w="2524"/>
        <w:gridCol w:w="2693"/>
        <w:gridCol w:w="1984"/>
        <w:gridCol w:w="2127"/>
        <w:gridCol w:w="1559"/>
        <w:gridCol w:w="992"/>
      </w:tblGrid>
      <w:tr w:rsidR="00771BF6" w:rsidRPr="008173C7" w14:paraId="78E60D15" w14:textId="77777777" w:rsidTr="00641FA9">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79" w:type="dxa"/>
            <w:tcBorders>
              <w:top w:val="nil"/>
              <w:bottom w:val="single" w:sz="8" w:space="0" w:color="auto"/>
            </w:tcBorders>
            <w:shd w:val="clear" w:color="auto" w:fill="FFFFFF" w:themeFill="background1"/>
            <w:hideMark/>
          </w:tcPr>
          <w:p w14:paraId="2F33DD2D" w14:textId="77777777" w:rsidR="00B35A44" w:rsidRPr="008173C7" w:rsidRDefault="00B35A44" w:rsidP="00641FA9">
            <w:pPr>
              <w:rPr>
                <w:rFonts w:cs="Times New Roman"/>
                <w:color w:val="auto"/>
                <w:lang w:val="en-US"/>
              </w:rPr>
            </w:pPr>
          </w:p>
        </w:tc>
        <w:tc>
          <w:tcPr>
            <w:tcW w:w="2524" w:type="dxa"/>
            <w:tcBorders>
              <w:top w:val="nil"/>
              <w:bottom w:val="single" w:sz="8" w:space="0" w:color="auto"/>
            </w:tcBorders>
            <w:shd w:val="clear" w:color="auto" w:fill="FFFFFF" w:themeFill="background1"/>
          </w:tcPr>
          <w:p w14:paraId="73B8D951"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c>
          <w:tcPr>
            <w:tcW w:w="2693" w:type="dxa"/>
            <w:tcBorders>
              <w:top w:val="nil"/>
              <w:bottom w:val="single" w:sz="8" w:space="0" w:color="auto"/>
            </w:tcBorders>
            <w:shd w:val="clear" w:color="auto" w:fill="FFFFFF" w:themeFill="background1"/>
          </w:tcPr>
          <w:p w14:paraId="1575EDB1"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4</w:t>
            </w:r>
          </w:p>
        </w:tc>
        <w:tc>
          <w:tcPr>
            <w:tcW w:w="1984" w:type="dxa"/>
            <w:tcBorders>
              <w:top w:val="nil"/>
              <w:bottom w:val="single" w:sz="8" w:space="0" w:color="auto"/>
            </w:tcBorders>
            <w:shd w:val="clear" w:color="auto" w:fill="FFFFFF" w:themeFill="background1"/>
          </w:tcPr>
          <w:p w14:paraId="682C5D1D"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3</w:t>
            </w:r>
          </w:p>
        </w:tc>
        <w:tc>
          <w:tcPr>
            <w:tcW w:w="2127" w:type="dxa"/>
            <w:tcBorders>
              <w:top w:val="nil"/>
              <w:bottom w:val="single" w:sz="8" w:space="0" w:color="auto"/>
            </w:tcBorders>
            <w:shd w:val="clear" w:color="auto" w:fill="FFFFFF" w:themeFill="background1"/>
          </w:tcPr>
          <w:p w14:paraId="08FD1C1F"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2</w:t>
            </w:r>
          </w:p>
        </w:tc>
        <w:tc>
          <w:tcPr>
            <w:tcW w:w="1559" w:type="dxa"/>
            <w:tcBorders>
              <w:top w:val="nil"/>
              <w:bottom w:val="single" w:sz="8" w:space="0" w:color="auto"/>
              <w:right w:val="single" w:sz="8" w:space="0" w:color="auto"/>
            </w:tcBorders>
            <w:shd w:val="clear" w:color="auto" w:fill="FFFFFF" w:themeFill="background1"/>
          </w:tcPr>
          <w:p w14:paraId="712C8B07"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1</w:t>
            </w:r>
          </w:p>
        </w:tc>
        <w:tc>
          <w:tcPr>
            <w:tcW w:w="992" w:type="dxa"/>
            <w:tcBorders>
              <w:top w:val="nil"/>
              <w:left w:val="single" w:sz="8" w:space="0" w:color="auto"/>
              <w:bottom w:val="single" w:sz="8" w:space="0" w:color="auto"/>
            </w:tcBorders>
            <w:shd w:val="clear" w:color="auto" w:fill="FFFFFF" w:themeFill="background1"/>
            <w:vAlign w:val="center"/>
          </w:tcPr>
          <w:p w14:paraId="54DE8D78" w14:textId="77777777" w:rsidR="00B35A44" w:rsidRPr="008173C7" w:rsidRDefault="00B35A44" w:rsidP="00641FA9">
            <w:pPr>
              <w:jc w:val="center"/>
              <w:cnfStyle w:val="100000000000" w:firstRow="1"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Total</w:t>
            </w:r>
          </w:p>
        </w:tc>
      </w:tr>
      <w:tr w:rsidR="00771BF6" w:rsidRPr="008173C7" w14:paraId="51F657DF" w14:textId="77777777" w:rsidTr="00641FA9">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979" w:type="dxa"/>
            <w:tcBorders>
              <w:top w:val="single" w:sz="8" w:space="0" w:color="auto"/>
            </w:tcBorders>
            <w:shd w:val="clear" w:color="auto" w:fill="FFFFFF" w:themeFill="background1"/>
            <w:vAlign w:val="center"/>
          </w:tcPr>
          <w:p w14:paraId="2C90CC53" w14:textId="77777777" w:rsidR="00B35A44" w:rsidRPr="008173C7" w:rsidRDefault="00B35A44" w:rsidP="00641FA9">
            <w:pPr>
              <w:jc w:val="left"/>
              <w:rPr>
                <w:rFonts w:cs="Times New Roman"/>
                <w:color w:val="auto"/>
                <w:lang w:val="en-US"/>
              </w:rPr>
            </w:pPr>
            <w:r w:rsidRPr="008173C7">
              <w:rPr>
                <w:rFonts w:cs="Times New Roman"/>
                <w:color w:val="auto"/>
                <w:lang w:val="en-US"/>
              </w:rPr>
              <w:t>Potential gravity and systemic aspects at stake</w:t>
            </w:r>
          </w:p>
        </w:tc>
        <w:tc>
          <w:tcPr>
            <w:tcW w:w="2524" w:type="dxa"/>
            <w:tcBorders>
              <w:top w:val="single" w:sz="8" w:space="0" w:color="auto"/>
            </w:tcBorders>
            <w:shd w:val="clear" w:color="auto" w:fill="FFFFFF" w:themeFill="background1"/>
            <w:vAlign w:val="center"/>
          </w:tcPr>
          <w:p w14:paraId="49FB62FE" w14:textId="0C78DD3C"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Public policy addressing an issue with multiple aspects (e.g. sanitary, environmental and economic) o</w:t>
            </w:r>
            <w:r w:rsidR="00B22795">
              <w:rPr>
                <w:rFonts w:cs="Times New Roman"/>
                <w:color w:val="auto"/>
                <w:lang w:val="en-US"/>
              </w:rPr>
              <w:t>f critical importance (e.g.</w:t>
            </w:r>
            <w:r w:rsidRPr="008173C7">
              <w:rPr>
                <w:rFonts w:cs="Times New Roman"/>
                <w:color w:val="auto"/>
                <w:lang w:val="en-US"/>
              </w:rPr>
              <w:t xml:space="preserve"> threat to human life)</w:t>
            </w:r>
          </w:p>
        </w:tc>
        <w:tc>
          <w:tcPr>
            <w:tcW w:w="2693" w:type="dxa"/>
            <w:tcBorders>
              <w:top w:val="single" w:sz="8" w:space="0" w:color="auto"/>
            </w:tcBorders>
            <w:shd w:val="clear" w:color="auto" w:fill="FFFFFF" w:themeFill="background1"/>
            <w:vAlign w:val="center"/>
          </w:tcPr>
          <w:p w14:paraId="4C11981E"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Public policy addressing an issue with several intertwined and important aspects which are less crucial (e.g. non-lethal toxicity)</w:t>
            </w:r>
          </w:p>
        </w:tc>
        <w:tc>
          <w:tcPr>
            <w:tcW w:w="1984" w:type="dxa"/>
            <w:tcBorders>
              <w:top w:val="single" w:sz="8" w:space="0" w:color="auto"/>
            </w:tcBorders>
            <w:shd w:val="clear" w:color="auto" w:fill="FFFFFF" w:themeFill="background1"/>
            <w:vAlign w:val="center"/>
          </w:tcPr>
          <w:p w14:paraId="5A059BAD"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Public policy addressing important isolated social, territorial, or environmental issues</w:t>
            </w:r>
          </w:p>
        </w:tc>
        <w:tc>
          <w:tcPr>
            <w:tcW w:w="2127" w:type="dxa"/>
            <w:tcBorders>
              <w:top w:val="single" w:sz="8" w:space="0" w:color="auto"/>
            </w:tcBorders>
            <w:shd w:val="clear" w:color="auto" w:fill="FFFFFF" w:themeFill="background1"/>
            <w:vAlign w:val="center"/>
          </w:tcPr>
          <w:p w14:paraId="24322174"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Importance limited to one or two issues (e.g. territorial with cultural or heritage features but not economic or environmental ones)</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323A1E4E"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Low potential gravity of the issues at stake</w:t>
            </w:r>
          </w:p>
        </w:tc>
        <w:tc>
          <w:tcPr>
            <w:tcW w:w="992" w:type="dxa"/>
            <w:tcBorders>
              <w:top w:val="single" w:sz="8" w:space="0" w:color="auto"/>
              <w:left w:val="single" w:sz="8" w:space="0" w:color="auto"/>
            </w:tcBorders>
            <w:shd w:val="clear" w:color="auto" w:fill="FFFFFF" w:themeFill="background1"/>
            <w:vAlign w:val="center"/>
          </w:tcPr>
          <w:p w14:paraId="7AA974E4"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4AEBA8E4" w14:textId="77777777" w:rsidTr="00641FA9">
        <w:trPr>
          <w:trHeight w:val="1670"/>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7295E864" w14:textId="77777777" w:rsidR="00B35A44" w:rsidRPr="008173C7" w:rsidRDefault="00B35A44" w:rsidP="00641FA9">
            <w:pPr>
              <w:jc w:val="left"/>
              <w:rPr>
                <w:rFonts w:cs="Times New Roman"/>
                <w:color w:val="auto"/>
                <w:lang w:val="en-US"/>
              </w:rPr>
            </w:pPr>
            <w:r w:rsidRPr="008173C7">
              <w:rPr>
                <w:rFonts w:cs="Times New Roman"/>
                <w:color w:val="auto"/>
                <w:lang w:val="en-US"/>
              </w:rPr>
              <w:t>Magnitude of the affected population and policy</w:t>
            </w:r>
          </w:p>
        </w:tc>
        <w:tc>
          <w:tcPr>
            <w:tcW w:w="2524" w:type="dxa"/>
            <w:shd w:val="clear" w:color="auto" w:fill="FFFFFF" w:themeFill="background1"/>
            <w:vAlign w:val="center"/>
          </w:tcPr>
          <w:p w14:paraId="7C01311F"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The whole national and/or an important share of international population is affected. National policies are affected.</w:t>
            </w:r>
          </w:p>
        </w:tc>
        <w:tc>
          <w:tcPr>
            <w:tcW w:w="2693" w:type="dxa"/>
            <w:shd w:val="clear" w:color="auto" w:fill="FFFFFF" w:themeFill="background1"/>
            <w:vAlign w:val="center"/>
          </w:tcPr>
          <w:p w14:paraId="54C66893"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Almost the whole national population is affected. National policies are affected.</w:t>
            </w:r>
          </w:p>
        </w:tc>
        <w:tc>
          <w:tcPr>
            <w:tcW w:w="1984" w:type="dxa"/>
            <w:shd w:val="clear" w:color="auto" w:fill="FFFFFF" w:themeFill="background1"/>
            <w:vAlign w:val="center"/>
          </w:tcPr>
          <w:p w14:paraId="5AA6A20C"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The affected populations are confined to one or a small number of areas or species or the policies affected are local.</w:t>
            </w:r>
          </w:p>
        </w:tc>
        <w:tc>
          <w:tcPr>
            <w:tcW w:w="2127" w:type="dxa"/>
            <w:shd w:val="clear" w:color="auto" w:fill="FFFFFF" w:themeFill="background1"/>
            <w:vAlign w:val="center"/>
          </w:tcPr>
          <w:p w14:paraId="45A38D9C"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The affected population is limited to one or two areas or species; the affected policies are local</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2E7C7F0D"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The population affected is limited and the policies are local</w:t>
            </w:r>
          </w:p>
        </w:tc>
        <w:tc>
          <w:tcPr>
            <w:tcW w:w="992" w:type="dxa"/>
            <w:tcBorders>
              <w:left w:val="single" w:sz="8" w:space="0" w:color="auto"/>
            </w:tcBorders>
            <w:shd w:val="clear" w:color="auto" w:fill="FFFFFF" w:themeFill="background1"/>
            <w:vAlign w:val="center"/>
          </w:tcPr>
          <w:p w14:paraId="7922E658" w14:textId="77777777" w:rsidR="00B35A44" w:rsidRPr="008173C7" w:rsidRDefault="00B35A44" w:rsidP="00641FA9">
            <w:pPr>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2A0F3C70" w14:textId="77777777" w:rsidTr="00641FA9">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4DBB1476" w14:textId="77777777" w:rsidR="00B35A44" w:rsidRPr="008173C7" w:rsidRDefault="00B35A44" w:rsidP="00641FA9">
            <w:pPr>
              <w:jc w:val="left"/>
              <w:rPr>
                <w:rFonts w:cs="Times New Roman"/>
                <w:color w:val="auto"/>
                <w:lang w:val="en-US"/>
              </w:rPr>
            </w:pPr>
            <w:r w:rsidRPr="008173C7">
              <w:rPr>
                <w:rFonts w:cs="Times New Roman"/>
                <w:color w:val="auto"/>
                <w:lang w:val="en-US"/>
              </w:rPr>
              <w:t>Societal concerns</w:t>
            </w:r>
          </w:p>
        </w:tc>
        <w:tc>
          <w:tcPr>
            <w:tcW w:w="2524" w:type="dxa"/>
            <w:shd w:val="clear" w:color="auto" w:fill="FFFFFF" w:themeFill="background1"/>
            <w:vAlign w:val="center"/>
          </w:tcPr>
          <w:p w14:paraId="1D0CC058"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Of huge societal and political concern. Regular crisis covered in the media. No societal consensus on the issue to be tackled.</w:t>
            </w:r>
          </w:p>
        </w:tc>
        <w:tc>
          <w:tcPr>
            <w:tcW w:w="2693" w:type="dxa"/>
            <w:shd w:val="clear" w:color="auto" w:fill="FFFFFF" w:themeFill="background1"/>
            <w:vAlign w:val="center"/>
          </w:tcPr>
          <w:p w14:paraId="0D3BC2C5"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Great societal and political concern conveyed regularly in the media. Societal consensus on the nature of the issue but not its technical solution</w:t>
            </w:r>
          </w:p>
        </w:tc>
        <w:tc>
          <w:tcPr>
            <w:tcW w:w="1984" w:type="dxa"/>
            <w:shd w:val="clear" w:color="auto" w:fill="FFFFFF" w:themeFill="background1"/>
            <w:vAlign w:val="center"/>
          </w:tcPr>
          <w:p w14:paraId="48ABA807"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Societal disorder (in time and space), irregularly covered by the media</w:t>
            </w:r>
          </w:p>
        </w:tc>
        <w:tc>
          <w:tcPr>
            <w:tcW w:w="2127" w:type="dxa"/>
            <w:shd w:val="clear" w:color="auto" w:fill="FFFFFF" w:themeFill="background1"/>
            <w:vAlign w:val="center"/>
          </w:tcPr>
          <w:p w14:paraId="7C59F1AD"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Low societal concern but the topic may gain awareness</w:t>
            </w:r>
          </w:p>
        </w:tc>
        <w:tc>
          <w:tcPr>
            <w:tcW w:w="1559" w:type="dxa"/>
            <w:tcBorders>
              <w:top w:val="single" w:sz="8" w:space="0" w:color="auto"/>
              <w:bottom w:val="single" w:sz="8" w:space="0" w:color="auto"/>
              <w:right w:val="single" w:sz="8" w:space="0" w:color="auto"/>
            </w:tcBorders>
            <w:shd w:val="clear" w:color="auto" w:fill="FFFFFF" w:themeFill="background1"/>
            <w:vAlign w:val="center"/>
          </w:tcPr>
          <w:p w14:paraId="21997196" w14:textId="77777777" w:rsidR="00B35A44" w:rsidRPr="008173C7" w:rsidRDefault="00B35A44" w:rsidP="00641FA9">
            <w:pPr>
              <w:jc w:val="left"/>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Low level of societal concern currently and likely in the future</w:t>
            </w:r>
          </w:p>
        </w:tc>
        <w:tc>
          <w:tcPr>
            <w:tcW w:w="992" w:type="dxa"/>
            <w:tcBorders>
              <w:left w:val="single" w:sz="8" w:space="0" w:color="auto"/>
            </w:tcBorders>
            <w:shd w:val="clear" w:color="auto" w:fill="FFFFFF" w:themeFill="background1"/>
            <w:vAlign w:val="center"/>
          </w:tcPr>
          <w:p w14:paraId="16A74503" w14:textId="77777777" w:rsidR="00B35A44" w:rsidRPr="008173C7" w:rsidRDefault="00B35A44" w:rsidP="00641FA9">
            <w:pPr>
              <w:jc w:val="center"/>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8173C7">
              <w:rPr>
                <w:rFonts w:cs="Times New Roman"/>
                <w:color w:val="auto"/>
                <w:lang w:val="en-US"/>
              </w:rPr>
              <w:t>/5</w:t>
            </w:r>
          </w:p>
        </w:tc>
      </w:tr>
      <w:tr w:rsidR="00771BF6" w:rsidRPr="008173C7" w14:paraId="487E6779" w14:textId="77777777" w:rsidTr="00641FA9">
        <w:trPr>
          <w:trHeight w:val="445"/>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tcPr>
          <w:p w14:paraId="258E5EF2" w14:textId="77777777" w:rsidR="00B35A44" w:rsidRPr="008173C7" w:rsidRDefault="00B35A44" w:rsidP="00641FA9">
            <w:pPr>
              <w:jc w:val="left"/>
              <w:rPr>
                <w:rFonts w:cs="Times New Roman"/>
                <w:color w:val="auto"/>
                <w:lang w:val="en-US"/>
              </w:rPr>
            </w:pPr>
          </w:p>
        </w:tc>
        <w:tc>
          <w:tcPr>
            <w:tcW w:w="2524" w:type="dxa"/>
            <w:shd w:val="clear" w:color="auto" w:fill="FFFFFF" w:themeFill="background1"/>
            <w:vAlign w:val="center"/>
          </w:tcPr>
          <w:p w14:paraId="61DD1D9D"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693" w:type="dxa"/>
            <w:shd w:val="clear" w:color="auto" w:fill="FFFFFF" w:themeFill="background1"/>
            <w:vAlign w:val="center"/>
          </w:tcPr>
          <w:p w14:paraId="7AC5F69C"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1984" w:type="dxa"/>
            <w:shd w:val="clear" w:color="auto" w:fill="FFFFFF" w:themeFill="background1"/>
            <w:vAlign w:val="center"/>
          </w:tcPr>
          <w:p w14:paraId="1792B210"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2127" w:type="dxa"/>
            <w:shd w:val="clear" w:color="auto" w:fill="FFFFFF" w:themeFill="background1"/>
            <w:vAlign w:val="center"/>
          </w:tcPr>
          <w:p w14:paraId="71C5DF29"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1559" w:type="dxa"/>
            <w:tcBorders>
              <w:top w:val="single" w:sz="8" w:space="0" w:color="auto"/>
              <w:bottom w:val="nil"/>
              <w:right w:val="single" w:sz="8" w:space="0" w:color="auto"/>
            </w:tcBorders>
            <w:shd w:val="clear" w:color="auto" w:fill="FFFFFF" w:themeFill="background1"/>
            <w:vAlign w:val="center"/>
          </w:tcPr>
          <w:p w14:paraId="4F0F0F72" w14:textId="77777777" w:rsidR="00B35A44" w:rsidRPr="008173C7" w:rsidRDefault="00B35A44" w:rsidP="00641FA9">
            <w:pPr>
              <w:jc w:val="left"/>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p>
        </w:tc>
        <w:tc>
          <w:tcPr>
            <w:tcW w:w="992" w:type="dxa"/>
            <w:tcBorders>
              <w:left w:val="single" w:sz="8" w:space="0" w:color="auto"/>
            </w:tcBorders>
            <w:shd w:val="clear" w:color="auto" w:fill="FFFFFF" w:themeFill="background1"/>
            <w:vAlign w:val="center"/>
          </w:tcPr>
          <w:p w14:paraId="0FD0634E" w14:textId="77777777" w:rsidR="00B35A44" w:rsidRPr="008173C7" w:rsidRDefault="00B35A44" w:rsidP="00641FA9">
            <w:pPr>
              <w:ind w:left="-108" w:right="-108"/>
              <w:jc w:val="center"/>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8173C7">
              <w:rPr>
                <w:rFonts w:cs="Times New Roman"/>
                <w:color w:val="auto"/>
                <w:lang w:val="en-US"/>
              </w:rPr>
              <w:t>Total average /5</w:t>
            </w:r>
          </w:p>
        </w:tc>
      </w:tr>
    </w:tbl>
    <w:p w14:paraId="34547961" w14:textId="77777777" w:rsidR="00B35A44" w:rsidRPr="008173C7" w:rsidRDefault="00B35A44" w:rsidP="00B35A44">
      <w:pPr>
        <w:rPr>
          <w:rFonts w:cs="Times New Roman"/>
          <w:lang w:val="en-US"/>
        </w:rPr>
      </w:pPr>
    </w:p>
    <w:p w14:paraId="010A1C7F" w14:textId="234EABB8" w:rsidR="00B35A44" w:rsidRPr="008173C7" w:rsidRDefault="00B35A44" w:rsidP="000401BB">
      <w:pPr>
        <w:spacing w:line="480" w:lineRule="auto"/>
        <w:rPr>
          <w:rFonts w:cs="Times New Roman"/>
          <w:lang w:val="en-US"/>
        </w:rPr>
        <w:sectPr w:rsidR="00B35A44" w:rsidRPr="008173C7" w:rsidSect="00B35A44">
          <w:pgSz w:w="16838" w:h="11906" w:orient="landscape"/>
          <w:pgMar w:top="711" w:right="1417" w:bottom="1417" w:left="1417" w:header="284" w:footer="708" w:gutter="0"/>
          <w:cols w:space="708"/>
          <w:docGrid w:linePitch="360"/>
        </w:sectPr>
      </w:pPr>
    </w:p>
    <w:p w14:paraId="2E027A84" w14:textId="6D5CBE14" w:rsidR="00C20C70" w:rsidRPr="008173C7" w:rsidRDefault="00C20C70" w:rsidP="000401BB">
      <w:pPr>
        <w:spacing w:line="480" w:lineRule="auto"/>
        <w:rPr>
          <w:rFonts w:cs="Times New Roman"/>
          <w:lang w:val="en-US"/>
        </w:rPr>
      </w:pPr>
      <w:r w:rsidRPr="008173C7">
        <w:rPr>
          <w:rFonts w:cs="Times New Roman"/>
          <w:lang w:val="en-US"/>
        </w:rPr>
        <w:t>T</w:t>
      </w:r>
      <w:r w:rsidR="00F30CDF" w:rsidRPr="008173C7">
        <w:rPr>
          <w:rFonts w:cs="Times New Roman"/>
          <w:lang w:val="en-US"/>
        </w:rPr>
        <w:t xml:space="preserve">he score </w:t>
      </w:r>
      <w:r w:rsidR="00B4562B" w:rsidRPr="008173C7">
        <w:rPr>
          <w:rFonts w:cs="Times New Roman"/>
          <w:lang w:val="en-US"/>
        </w:rPr>
        <w:t xml:space="preserve">for </w:t>
      </w:r>
      <w:r w:rsidR="00F30CDF" w:rsidRPr="008173C7">
        <w:rPr>
          <w:rFonts w:cs="Times New Roman"/>
          <w:lang w:val="en-US"/>
        </w:rPr>
        <w:t>impact on each dimension is the average of its sub dimension scores.</w:t>
      </w:r>
      <w:r w:rsidRPr="008173C7">
        <w:rPr>
          <w:rFonts w:cs="Times New Roman"/>
          <w:lang w:val="en-US"/>
        </w:rPr>
        <w:t xml:space="preserve"> If no information </w:t>
      </w:r>
      <w:r w:rsidR="00B4562B" w:rsidRPr="008173C7">
        <w:rPr>
          <w:rFonts w:cs="Times New Roman"/>
          <w:lang w:val="en-US"/>
        </w:rPr>
        <w:t>was</w:t>
      </w:r>
      <w:r w:rsidRPr="008173C7">
        <w:rPr>
          <w:rFonts w:cs="Times New Roman"/>
          <w:lang w:val="en-US"/>
        </w:rPr>
        <w:t xml:space="preserve"> available </w:t>
      </w:r>
      <w:r w:rsidR="008820C0" w:rsidRPr="008173C7">
        <w:rPr>
          <w:rFonts w:cs="Times New Roman"/>
          <w:lang w:val="en-US"/>
        </w:rPr>
        <w:t xml:space="preserve">in the case report </w:t>
      </w:r>
      <w:r w:rsidRPr="008173C7">
        <w:rPr>
          <w:rFonts w:cs="Times New Roman"/>
          <w:lang w:val="en-US"/>
        </w:rPr>
        <w:t xml:space="preserve">for a given sub-dimension, the score </w:t>
      </w:r>
      <w:r w:rsidR="009D24E9" w:rsidRPr="008173C7">
        <w:rPr>
          <w:rFonts w:cs="Times New Roman"/>
          <w:lang w:val="en-US"/>
        </w:rPr>
        <w:t>wa</w:t>
      </w:r>
      <w:r w:rsidR="00B4562B" w:rsidRPr="008173C7">
        <w:rPr>
          <w:rFonts w:cs="Times New Roman"/>
          <w:lang w:val="en-US"/>
        </w:rPr>
        <w:t xml:space="preserve">s </w:t>
      </w:r>
      <w:r w:rsidRPr="008173C7">
        <w:rPr>
          <w:rFonts w:cs="Times New Roman"/>
          <w:lang w:val="en-US"/>
        </w:rPr>
        <w:t xml:space="preserve">awarded 1/5. </w:t>
      </w:r>
    </w:p>
    <w:p w14:paraId="239CB08C" w14:textId="45AD114C" w:rsidR="00F30CDF" w:rsidRPr="008173C7" w:rsidRDefault="00F30CDF" w:rsidP="000401BB">
      <w:pPr>
        <w:spacing w:line="480" w:lineRule="auto"/>
        <w:rPr>
          <w:rFonts w:cs="Times New Roman"/>
          <w:lang w:val="en-US"/>
        </w:rPr>
      </w:pPr>
      <w:r w:rsidRPr="008173C7">
        <w:rPr>
          <w:rFonts w:cs="Times New Roman"/>
          <w:lang w:val="en-US"/>
        </w:rPr>
        <w:t>Finally, the overall political impact score for each case is calculated as the arithmetic mean</w:t>
      </w:r>
      <w:r w:rsidR="009D24E9" w:rsidRPr="008173C7">
        <w:rPr>
          <w:rFonts w:cs="Times New Roman"/>
          <w:lang w:val="en-US"/>
        </w:rPr>
        <w:t xml:space="preserve"> </w:t>
      </w:r>
      <w:r w:rsidRPr="008173C7">
        <w:rPr>
          <w:rFonts w:cs="Times New Roman"/>
          <w:lang w:val="en-US"/>
        </w:rPr>
        <w:t xml:space="preserve">of its rankings for each of the four dimensions. Weights are assigned as follows: a factor of 1 was assigned to each of the first three dimensions related to the contribution of INRA to political impact, and a factor of 3 was assigned to the dimension related to the importance of the policy domain at stake. We chose to balance the intensity of the </w:t>
      </w:r>
      <w:r w:rsidR="00ED5D4C" w:rsidRPr="008173C7">
        <w:rPr>
          <w:rFonts w:cs="Times New Roman"/>
          <w:lang w:val="en-US"/>
        </w:rPr>
        <w:t xml:space="preserve">overall </w:t>
      </w:r>
      <w:r w:rsidRPr="008173C7">
        <w:rPr>
          <w:rFonts w:cs="Times New Roman"/>
          <w:lang w:val="en-US"/>
        </w:rPr>
        <w:t xml:space="preserve">contribution with the importance of the policy, in order to avoid </w:t>
      </w:r>
      <w:r w:rsidR="00ED5D4C" w:rsidRPr="008173C7">
        <w:rPr>
          <w:rFonts w:cs="Times New Roman"/>
          <w:lang w:val="en-US"/>
        </w:rPr>
        <w:t xml:space="preserve">a </w:t>
      </w:r>
      <w:r w:rsidRPr="008173C7">
        <w:rPr>
          <w:rFonts w:cs="Times New Roman"/>
          <w:lang w:val="en-US"/>
        </w:rPr>
        <w:t xml:space="preserve">bias </w:t>
      </w:r>
      <w:r w:rsidR="00B4562B" w:rsidRPr="008173C7">
        <w:rPr>
          <w:rFonts w:cs="Times New Roman"/>
          <w:lang w:val="en-US"/>
        </w:rPr>
        <w:t xml:space="preserve">that </w:t>
      </w:r>
      <w:r w:rsidRPr="008173C7">
        <w:rPr>
          <w:rFonts w:cs="Times New Roman"/>
          <w:lang w:val="en-US"/>
        </w:rPr>
        <w:t xml:space="preserve">would reward an important contribution to a minor local policy and discourage a small contribution to a global policy challenge. </w:t>
      </w:r>
    </w:p>
    <w:p w14:paraId="166ADBEC" w14:textId="2D24CCC2" w:rsidR="005E2121" w:rsidRPr="008173C7" w:rsidRDefault="005E2121" w:rsidP="000401BB">
      <w:pPr>
        <w:pStyle w:val="Titre3"/>
        <w:spacing w:after="200" w:line="480" w:lineRule="auto"/>
        <w:rPr>
          <w:rFonts w:ascii="Times New Roman" w:hAnsi="Times New Roman" w:cs="Times New Roman"/>
          <w:b w:val="0"/>
          <w:color w:val="auto"/>
          <w:lang w:val="en-US"/>
        </w:rPr>
      </w:pPr>
      <w:r w:rsidRPr="008173C7">
        <w:rPr>
          <w:rFonts w:ascii="Times New Roman" w:hAnsi="Times New Roman" w:cs="Times New Roman"/>
          <w:b w:val="0"/>
          <w:color w:val="auto"/>
          <w:lang w:val="en-US"/>
        </w:rPr>
        <w:t>Test</w:t>
      </w:r>
      <w:r w:rsidR="00E102DB" w:rsidRPr="008173C7">
        <w:rPr>
          <w:rFonts w:ascii="Times New Roman" w:hAnsi="Times New Roman" w:cs="Times New Roman"/>
          <w:b w:val="0"/>
          <w:color w:val="auto"/>
          <w:lang w:val="en-US"/>
        </w:rPr>
        <w:t>ing</w:t>
      </w:r>
      <w:r w:rsidRPr="008173C7">
        <w:rPr>
          <w:rFonts w:ascii="Times New Roman" w:hAnsi="Times New Roman" w:cs="Times New Roman"/>
          <w:b w:val="0"/>
          <w:color w:val="auto"/>
          <w:lang w:val="en-US"/>
        </w:rPr>
        <w:t xml:space="preserve"> the </w:t>
      </w:r>
      <w:r w:rsidR="00C461C9" w:rsidRPr="008173C7">
        <w:rPr>
          <w:rFonts w:ascii="Times New Roman" w:hAnsi="Times New Roman" w:cs="Times New Roman"/>
          <w:b w:val="0"/>
          <w:color w:val="auto"/>
          <w:lang w:val="en-US"/>
        </w:rPr>
        <w:t>rating scale</w:t>
      </w:r>
    </w:p>
    <w:p w14:paraId="52D92CD4" w14:textId="31B7735C" w:rsidR="00F76C0A" w:rsidRPr="008173C7" w:rsidRDefault="00F76C0A" w:rsidP="000401BB">
      <w:pPr>
        <w:spacing w:line="480" w:lineRule="auto"/>
        <w:rPr>
          <w:rFonts w:cs="Times New Roman"/>
          <w:lang w:val="en-US"/>
        </w:rPr>
      </w:pPr>
      <w:r w:rsidRPr="008173C7">
        <w:rPr>
          <w:rFonts w:cs="Times New Roman"/>
          <w:lang w:val="en-US"/>
        </w:rPr>
        <w:t>The rating</w:t>
      </w:r>
      <w:r w:rsidR="00EE63A7" w:rsidRPr="008173C7">
        <w:rPr>
          <w:rFonts w:cs="Times New Roman"/>
          <w:lang w:val="en-US"/>
        </w:rPr>
        <w:t xml:space="preserve"> scale was sent to the experts</w:t>
      </w:r>
      <w:r w:rsidR="00B4562B" w:rsidRPr="008173C7">
        <w:rPr>
          <w:rFonts w:cs="Times New Roman"/>
          <w:lang w:val="en-US"/>
        </w:rPr>
        <w:t xml:space="preserve"> for validation</w:t>
      </w:r>
      <w:r w:rsidRPr="008173C7">
        <w:rPr>
          <w:rFonts w:cs="Times New Roman"/>
          <w:lang w:val="en-US"/>
        </w:rPr>
        <w:t xml:space="preserve">. This external validation </w:t>
      </w:r>
      <w:r w:rsidR="00B4562B" w:rsidRPr="008173C7">
        <w:rPr>
          <w:rFonts w:cs="Times New Roman"/>
          <w:lang w:val="en-US"/>
        </w:rPr>
        <w:t xml:space="preserve">completed </w:t>
      </w:r>
      <w:r w:rsidRPr="008173C7">
        <w:rPr>
          <w:rFonts w:cs="Times New Roman"/>
          <w:lang w:val="en-US"/>
        </w:rPr>
        <w:t xml:space="preserve">the iterative consultation process comprising: </w:t>
      </w:r>
      <w:r w:rsidR="009D24E9" w:rsidRPr="008173C7">
        <w:rPr>
          <w:rFonts w:cs="Times New Roman"/>
          <w:lang w:val="en-US"/>
        </w:rPr>
        <w:t xml:space="preserve">preparation of pilot cases </w:t>
      </w:r>
      <w:r w:rsidRPr="008173C7">
        <w:rPr>
          <w:rFonts w:cs="Times New Roman"/>
          <w:lang w:val="en-US"/>
        </w:rPr>
        <w:t xml:space="preserve">by </w:t>
      </w:r>
      <w:r w:rsidR="00B4562B" w:rsidRPr="008173C7">
        <w:rPr>
          <w:rFonts w:cs="Times New Roman"/>
          <w:lang w:val="en-US"/>
        </w:rPr>
        <w:t xml:space="preserve">the </w:t>
      </w:r>
      <w:r w:rsidRPr="008173C7">
        <w:rPr>
          <w:rFonts w:cs="Times New Roman"/>
          <w:lang w:val="en-US"/>
        </w:rPr>
        <w:t xml:space="preserve">ASIRPA team; remote individual ranking work by experts on the basis of the material provided; a meeting </w:t>
      </w:r>
      <w:r w:rsidR="00B4562B" w:rsidRPr="008173C7">
        <w:rPr>
          <w:rFonts w:cs="Times New Roman"/>
          <w:lang w:val="en-US"/>
        </w:rPr>
        <w:t xml:space="preserve">allowing </w:t>
      </w:r>
      <w:r w:rsidRPr="008173C7">
        <w:rPr>
          <w:rFonts w:cs="Times New Roman"/>
          <w:lang w:val="en-US"/>
        </w:rPr>
        <w:t xml:space="preserve">experts </w:t>
      </w:r>
      <w:r w:rsidR="00B4562B" w:rsidRPr="008173C7">
        <w:rPr>
          <w:rFonts w:cs="Times New Roman"/>
          <w:lang w:val="en-US"/>
        </w:rPr>
        <w:t xml:space="preserve">to </w:t>
      </w:r>
      <w:r w:rsidRPr="008173C7">
        <w:rPr>
          <w:rFonts w:cs="Times New Roman"/>
          <w:lang w:val="en-US"/>
        </w:rPr>
        <w:t xml:space="preserve">exchange arguments; </w:t>
      </w:r>
      <w:r w:rsidR="000F2951" w:rsidRPr="008173C7">
        <w:rPr>
          <w:rFonts w:cs="Times New Roman"/>
          <w:lang w:val="en-US"/>
        </w:rPr>
        <w:t>interpretation and analysis by the ASIRPA team; final email validation by the experts.</w:t>
      </w:r>
    </w:p>
    <w:p w14:paraId="1C83A396" w14:textId="1F0B82C4" w:rsidR="0066332A" w:rsidRPr="008173C7" w:rsidRDefault="00AA7244" w:rsidP="000401BB">
      <w:pPr>
        <w:spacing w:line="480" w:lineRule="auto"/>
        <w:rPr>
          <w:rFonts w:cs="Times New Roman"/>
          <w:lang w:val="en-US"/>
        </w:rPr>
      </w:pPr>
      <w:r w:rsidRPr="008173C7">
        <w:rPr>
          <w:rFonts w:cs="Times New Roman"/>
          <w:lang w:val="en-US"/>
        </w:rPr>
        <w:t>T</w:t>
      </w:r>
      <w:r w:rsidR="00920DCD" w:rsidRPr="008173C7">
        <w:rPr>
          <w:rFonts w:cs="Times New Roman"/>
          <w:lang w:val="en-US"/>
        </w:rPr>
        <w:t xml:space="preserve">he rating </w:t>
      </w:r>
      <w:r w:rsidR="00665F50" w:rsidRPr="008173C7">
        <w:rPr>
          <w:rFonts w:cs="Times New Roman"/>
          <w:lang w:val="en-US"/>
        </w:rPr>
        <w:t>scale</w:t>
      </w:r>
      <w:r w:rsidR="006E222D" w:rsidRPr="008173C7">
        <w:rPr>
          <w:rFonts w:cs="Times New Roman"/>
          <w:lang w:val="en-US"/>
        </w:rPr>
        <w:t xml:space="preserve"> </w:t>
      </w:r>
      <w:r w:rsidR="009D24E9" w:rsidRPr="008173C7">
        <w:rPr>
          <w:rFonts w:cs="Times New Roman"/>
          <w:lang w:val="en-US"/>
        </w:rPr>
        <w:t xml:space="preserve">was </w:t>
      </w:r>
      <w:r w:rsidR="001C08FE" w:rsidRPr="008173C7">
        <w:rPr>
          <w:rFonts w:cs="Times New Roman"/>
          <w:lang w:val="en-US"/>
        </w:rPr>
        <w:t xml:space="preserve">included in the standard methodological guidelines for conducting ASIRPA case studies and </w:t>
      </w:r>
      <w:r w:rsidR="006E222D" w:rsidRPr="008173C7">
        <w:rPr>
          <w:rFonts w:cs="Times New Roman"/>
          <w:lang w:val="en-US"/>
        </w:rPr>
        <w:t>is</w:t>
      </w:r>
      <w:r w:rsidR="00C811C4" w:rsidRPr="008173C7">
        <w:rPr>
          <w:rFonts w:cs="Times New Roman"/>
          <w:lang w:val="en-US"/>
        </w:rPr>
        <w:t xml:space="preserve"> </w:t>
      </w:r>
      <w:r w:rsidR="00B4562B" w:rsidRPr="008173C7">
        <w:rPr>
          <w:rFonts w:cs="Times New Roman"/>
          <w:lang w:val="en-US"/>
        </w:rPr>
        <w:t xml:space="preserve">being </w:t>
      </w:r>
      <w:r w:rsidR="00C811C4" w:rsidRPr="008173C7">
        <w:rPr>
          <w:rFonts w:cs="Times New Roman"/>
          <w:lang w:val="en-US"/>
        </w:rPr>
        <w:t>implemented</w:t>
      </w:r>
      <w:r w:rsidR="00920DCD" w:rsidRPr="008173C7">
        <w:rPr>
          <w:rFonts w:cs="Times New Roman"/>
          <w:lang w:val="en-US"/>
        </w:rPr>
        <w:t xml:space="preserve"> routine</w:t>
      </w:r>
      <w:r w:rsidR="00B4562B" w:rsidRPr="008173C7">
        <w:rPr>
          <w:rFonts w:cs="Times New Roman"/>
          <w:lang w:val="en-US"/>
        </w:rPr>
        <w:t>ly</w:t>
      </w:r>
      <w:r w:rsidR="006E222D" w:rsidRPr="008173C7">
        <w:rPr>
          <w:rFonts w:cs="Times New Roman"/>
          <w:lang w:val="en-US"/>
        </w:rPr>
        <w:t xml:space="preserve"> </w:t>
      </w:r>
      <w:r w:rsidR="0076006F" w:rsidRPr="008173C7">
        <w:rPr>
          <w:rFonts w:cs="Times New Roman"/>
          <w:lang w:val="en-US"/>
        </w:rPr>
        <w:t>by</w:t>
      </w:r>
      <w:r w:rsidR="006E222D" w:rsidRPr="008173C7">
        <w:rPr>
          <w:rFonts w:cs="Times New Roman"/>
          <w:lang w:val="en-US"/>
        </w:rPr>
        <w:t xml:space="preserve"> INRA</w:t>
      </w:r>
      <w:r w:rsidR="00C811C4" w:rsidRPr="008173C7">
        <w:rPr>
          <w:rFonts w:cs="Times New Roman"/>
          <w:lang w:val="en-US"/>
        </w:rPr>
        <w:t xml:space="preserve">. </w:t>
      </w:r>
      <w:r w:rsidR="00C3462E" w:rsidRPr="008173C7">
        <w:rPr>
          <w:rFonts w:cs="Times New Roman"/>
          <w:lang w:val="en-US"/>
        </w:rPr>
        <w:t>Political impact is investigated</w:t>
      </w:r>
      <w:r w:rsidR="0076006F" w:rsidRPr="008173C7">
        <w:rPr>
          <w:rFonts w:cs="Times New Roman"/>
          <w:lang w:val="en-US"/>
        </w:rPr>
        <w:t xml:space="preserve"> systematically</w:t>
      </w:r>
      <w:r w:rsidR="00C3462E" w:rsidRPr="008173C7">
        <w:rPr>
          <w:rFonts w:cs="Times New Roman"/>
          <w:lang w:val="en-US"/>
        </w:rPr>
        <w:t xml:space="preserve"> in all case studies. </w:t>
      </w:r>
      <w:r w:rsidR="00CF083A" w:rsidRPr="008173C7">
        <w:rPr>
          <w:rFonts w:cs="Times New Roman"/>
          <w:lang w:val="en-US"/>
        </w:rPr>
        <w:t>In 2016, 41</w:t>
      </w:r>
      <w:r w:rsidR="00C92F63" w:rsidRPr="008173C7">
        <w:rPr>
          <w:rFonts w:cs="Times New Roman"/>
          <w:lang w:val="en-US"/>
        </w:rPr>
        <w:t xml:space="preserve"> cases </w:t>
      </w:r>
      <w:r w:rsidR="00CF083A" w:rsidRPr="008173C7">
        <w:rPr>
          <w:rFonts w:cs="Times New Roman"/>
          <w:lang w:val="en-US"/>
        </w:rPr>
        <w:t xml:space="preserve">were </w:t>
      </w:r>
      <w:r w:rsidR="00C92F63" w:rsidRPr="008173C7">
        <w:rPr>
          <w:rFonts w:cs="Times New Roman"/>
          <w:lang w:val="en-US"/>
        </w:rPr>
        <w:t>available</w:t>
      </w:r>
      <w:r w:rsidR="00CF083A" w:rsidRPr="008173C7">
        <w:rPr>
          <w:rFonts w:cs="Times New Roman"/>
          <w:lang w:val="en-US"/>
        </w:rPr>
        <w:t>,</w:t>
      </w:r>
      <w:r w:rsidR="00C92F63" w:rsidRPr="008173C7">
        <w:rPr>
          <w:rFonts w:cs="Times New Roman"/>
          <w:lang w:val="en-US"/>
        </w:rPr>
        <w:t xml:space="preserve"> </w:t>
      </w:r>
      <w:r w:rsidR="009136BA" w:rsidRPr="008173C7">
        <w:rPr>
          <w:rFonts w:cs="Times New Roman"/>
          <w:lang w:val="en-US"/>
        </w:rPr>
        <w:t>23</w:t>
      </w:r>
      <w:r w:rsidR="009B7020" w:rsidRPr="008173C7">
        <w:rPr>
          <w:rFonts w:cs="Times New Roman"/>
          <w:lang w:val="en-US"/>
        </w:rPr>
        <w:t xml:space="preserve"> of </w:t>
      </w:r>
      <w:r w:rsidR="00326B89" w:rsidRPr="008173C7">
        <w:rPr>
          <w:rFonts w:cs="Times New Roman"/>
          <w:lang w:val="en-US"/>
        </w:rPr>
        <w:t>which ha</w:t>
      </w:r>
      <w:r w:rsidR="0076006F" w:rsidRPr="008173C7">
        <w:rPr>
          <w:rFonts w:cs="Times New Roman"/>
          <w:lang w:val="en-US"/>
        </w:rPr>
        <w:t>d</w:t>
      </w:r>
      <w:r w:rsidR="00326B89" w:rsidRPr="008173C7">
        <w:rPr>
          <w:rFonts w:cs="Times New Roman"/>
          <w:lang w:val="en-US"/>
        </w:rPr>
        <w:t xml:space="preserve"> </w:t>
      </w:r>
      <w:r w:rsidR="00C3462E" w:rsidRPr="008173C7">
        <w:rPr>
          <w:rFonts w:cs="Times New Roman"/>
          <w:lang w:val="en-US"/>
        </w:rPr>
        <w:t xml:space="preserve">some </w:t>
      </w:r>
      <w:r w:rsidR="0066332A" w:rsidRPr="008173C7">
        <w:rPr>
          <w:rFonts w:cs="Times New Roman"/>
          <w:lang w:val="en-US"/>
        </w:rPr>
        <w:t xml:space="preserve">political impact. The </w:t>
      </w:r>
      <w:r w:rsidR="009B7020" w:rsidRPr="008173C7">
        <w:rPr>
          <w:rFonts w:cs="Times New Roman"/>
          <w:lang w:val="en-US"/>
        </w:rPr>
        <w:t>rating</w:t>
      </w:r>
      <w:r w:rsidR="0066332A" w:rsidRPr="008173C7">
        <w:rPr>
          <w:rFonts w:cs="Times New Roman"/>
          <w:lang w:val="en-US"/>
        </w:rPr>
        <w:t xml:space="preserve"> scale </w:t>
      </w:r>
      <w:r w:rsidR="009B7020" w:rsidRPr="008173C7">
        <w:rPr>
          <w:rFonts w:cs="Times New Roman"/>
          <w:lang w:val="en-US"/>
        </w:rPr>
        <w:t>was</w:t>
      </w:r>
      <w:r w:rsidR="00B4562B" w:rsidRPr="008173C7">
        <w:rPr>
          <w:rFonts w:cs="Times New Roman"/>
          <w:lang w:val="en-US"/>
        </w:rPr>
        <w:t xml:space="preserve"> applied</w:t>
      </w:r>
      <w:r w:rsidR="0076006F" w:rsidRPr="008173C7">
        <w:rPr>
          <w:rFonts w:cs="Times New Roman"/>
          <w:lang w:val="en-US"/>
        </w:rPr>
        <w:t xml:space="preserve"> </w:t>
      </w:r>
      <w:r w:rsidR="009D24E9" w:rsidRPr="008173C7">
        <w:rPr>
          <w:rFonts w:cs="Times New Roman"/>
          <w:lang w:val="en-US"/>
        </w:rPr>
        <w:t xml:space="preserve">successfully </w:t>
      </w:r>
      <w:r w:rsidR="00B4562B" w:rsidRPr="008173C7">
        <w:rPr>
          <w:rFonts w:cs="Times New Roman"/>
          <w:lang w:val="en-US"/>
        </w:rPr>
        <w:t xml:space="preserve">to </w:t>
      </w:r>
      <w:r w:rsidR="00ED5D4C" w:rsidRPr="008173C7">
        <w:rPr>
          <w:rFonts w:cs="Times New Roman"/>
          <w:lang w:val="en-US"/>
        </w:rPr>
        <w:t xml:space="preserve">all </w:t>
      </w:r>
      <w:r w:rsidR="009B7020" w:rsidRPr="008173C7">
        <w:rPr>
          <w:rFonts w:cs="Times New Roman"/>
          <w:lang w:val="en-US"/>
        </w:rPr>
        <w:t xml:space="preserve">these </w:t>
      </w:r>
      <w:r w:rsidR="00735322" w:rsidRPr="008173C7">
        <w:rPr>
          <w:rFonts w:cs="Times New Roman"/>
          <w:lang w:val="en-US"/>
        </w:rPr>
        <w:t>2</w:t>
      </w:r>
      <w:r w:rsidR="003F7EE3" w:rsidRPr="008173C7">
        <w:rPr>
          <w:rFonts w:cs="Times New Roman"/>
          <w:lang w:val="en-US"/>
        </w:rPr>
        <w:t>3</w:t>
      </w:r>
      <w:r w:rsidR="00735322" w:rsidRPr="008173C7">
        <w:rPr>
          <w:rFonts w:cs="Times New Roman"/>
          <w:lang w:val="en-US"/>
        </w:rPr>
        <w:t xml:space="preserve"> </w:t>
      </w:r>
      <w:r w:rsidR="009B7020" w:rsidRPr="008173C7">
        <w:rPr>
          <w:rFonts w:cs="Times New Roman"/>
          <w:lang w:val="en-US"/>
        </w:rPr>
        <w:t>cases</w:t>
      </w:r>
      <w:r w:rsidR="009C27BC" w:rsidRPr="008173C7">
        <w:rPr>
          <w:rFonts w:cs="Times New Roman"/>
          <w:lang w:val="en-US"/>
        </w:rPr>
        <w:t xml:space="preserve">. </w:t>
      </w:r>
    </w:p>
    <w:p w14:paraId="01276379" w14:textId="479D1E24" w:rsidR="00EE0CF7" w:rsidRPr="008173C7" w:rsidRDefault="00064348" w:rsidP="000401BB">
      <w:pPr>
        <w:pStyle w:val="Lgende"/>
        <w:keepNext/>
        <w:spacing w:line="480" w:lineRule="auto"/>
        <w:rPr>
          <w:rFonts w:cs="Times New Roman"/>
          <w:color w:val="auto"/>
          <w:lang w:val="en-US"/>
        </w:rPr>
      </w:pPr>
      <w:r w:rsidRPr="008173C7">
        <w:rPr>
          <w:rFonts w:cs="Times New Roman"/>
          <w:color w:val="auto"/>
          <w:lang w:val="en-US"/>
        </w:rPr>
        <w:t xml:space="preserve">Table </w:t>
      </w:r>
      <w:r w:rsidR="00C23BE9" w:rsidRPr="008173C7">
        <w:rPr>
          <w:rFonts w:cs="Times New Roman"/>
          <w:color w:val="auto"/>
          <w:lang w:val="en-US"/>
        </w:rPr>
        <w:t>4</w:t>
      </w:r>
      <w:r w:rsidR="00E95F7A" w:rsidRPr="008173C7">
        <w:rPr>
          <w:rFonts w:cs="Times New Roman"/>
          <w:color w:val="auto"/>
          <w:lang w:val="en-US"/>
        </w:rPr>
        <w:t xml:space="preserve"> : Marks of political impact </w:t>
      </w:r>
      <w:r w:rsidR="006E222D" w:rsidRPr="008173C7">
        <w:rPr>
          <w:rFonts w:cs="Times New Roman"/>
          <w:color w:val="auto"/>
          <w:lang w:val="en-US"/>
        </w:rPr>
        <w:t xml:space="preserve">(/5) </w:t>
      </w:r>
      <w:r w:rsidR="00E95F7A" w:rsidRPr="008173C7">
        <w:rPr>
          <w:rFonts w:cs="Times New Roman"/>
          <w:color w:val="auto"/>
          <w:lang w:val="en-US"/>
        </w:rPr>
        <w:t xml:space="preserve">of all </w:t>
      </w:r>
      <w:r w:rsidR="00B402FB" w:rsidRPr="008173C7">
        <w:rPr>
          <w:rFonts w:cs="Times New Roman"/>
          <w:color w:val="auto"/>
          <w:lang w:val="en-US"/>
        </w:rPr>
        <w:t>23</w:t>
      </w:r>
      <w:r w:rsidR="00E95F7A" w:rsidRPr="008173C7">
        <w:rPr>
          <w:rFonts w:cs="Times New Roman"/>
          <w:color w:val="auto"/>
          <w:lang w:val="en-US"/>
        </w:rPr>
        <w:t xml:space="preserve"> cases available in 201</w:t>
      </w:r>
      <w:r w:rsidR="00B402FB" w:rsidRPr="008173C7">
        <w:rPr>
          <w:rFonts w:cs="Times New Roman"/>
          <w:color w:val="auto"/>
          <w:lang w:val="en-US"/>
        </w:rPr>
        <w:t>6</w:t>
      </w:r>
      <w:r w:rsidR="00E95F7A" w:rsidRPr="008173C7">
        <w:rPr>
          <w:rFonts w:cs="Times New Roman"/>
          <w:color w:val="auto"/>
          <w:lang w:val="en-US"/>
        </w:rPr>
        <w:t xml:space="preserve"> and scored in the </w:t>
      </w:r>
      <w:r w:rsidR="00C461C9" w:rsidRPr="008173C7">
        <w:rPr>
          <w:rFonts w:cs="Times New Roman"/>
          <w:color w:val="auto"/>
          <w:lang w:val="en-US"/>
        </w:rPr>
        <w:t>rating scale</w:t>
      </w:r>
    </w:p>
    <w:tbl>
      <w:tblPr>
        <w:tblW w:w="9157" w:type="dxa"/>
        <w:tblInd w:w="55" w:type="dxa"/>
        <w:tblLayout w:type="fixed"/>
        <w:tblCellMar>
          <w:left w:w="70" w:type="dxa"/>
          <w:right w:w="70" w:type="dxa"/>
        </w:tblCellMar>
        <w:tblLook w:val="04A0" w:firstRow="1" w:lastRow="0" w:firstColumn="1" w:lastColumn="0" w:noHBand="0" w:noVBand="1"/>
      </w:tblPr>
      <w:tblGrid>
        <w:gridCol w:w="4977"/>
        <w:gridCol w:w="1275"/>
        <w:gridCol w:w="817"/>
        <w:gridCol w:w="817"/>
        <w:gridCol w:w="1271"/>
      </w:tblGrid>
      <w:tr w:rsidR="00771BF6" w:rsidRPr="008173C7" w14:paraId="3A8A5066" w14:textId="77777777" w:rsidTr="009500DD">
        <w:trPr>
          <w:trHeight w:val="300"/>
        </w:trPr>
        <w:tc>
          <w:tcPr>
            <w:tcW w:w="4977" w:type="dxa"/>
            <w:tcBorders>
              <w:top w:val="nil"/>
              <w:left w:val="nil"/>
              <w:bottom w:val="single" w:sz="4" w:space="0" w:color="auto"/>
              <w:right w:val="nil"/>
            </w:tcBorders>
            <w:shd w:val="clear" w:color="auto" w:fill="auto"/>
            <w:noWrap/>
            <w:vAlign w:val="bottom"/>
            <w:hideMark/>
          </w:tcPr>
          <w:p w14:paraId="5F1FD25A" w14:textId="77777777" w:rsidR="007F3D74" w:rsidRPr="008173C7" w:rsidRDefault="007F3D74" w:rsidP="00E65323">
            <w:pPr>
              <w:spacing w:after="0" w:line="240" w:lineRule="auto"/>
              <w:jc w:val="left"/>
              <w:rPr>
                <w:rFonts w:eastAsia="Times New Roman" w:cs="Times New Roman"/>
                <w:lang w:val="en-US" w:eastAsia="fr-FR"/>
              </w:rPr>
            </w:pPr>
          </w:p>
        </w:tc>
        <w:tc>
          <w:tcPr>
            <w:tcW w:w="1275" w:type="dxa"/>
            <w:tcBorders>
              <w:top w:val="nil"/>
              <w:left w:val="nil"/>
              <w:bottom w:val="single" w:sz="4" w:space="0" w:color="auto"/>
              <w:right w:val="nil"/>
            </w:tcBorders>
            <w:shd w:val="clear" w:color="auto" w:fill="auto"/>
            <w:noWrap/>
            <w:vAlign w:val="center"/>
            <w:hideMark/>
          </w:tcPr>
          <w:p w14:paraId="62D5A5C7" w14:textId="77777777" w:rsidR="007F3D74" w:rsidRPr="008173C7" w:rsidRDefault="009500DD"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Average</w:t>
            </w:r>
          </w:p>
        </w:tc>
        <w:tc>
          <w:tcPr>
            <w:tcW w:w="817" w:type="dxa"/>
            <w:tcBorders>
              <w:top w:val="nil"/>
              <w:left w:val="nil"/>
              <w:bottom w:val="single" w:sz="4" w:space="0" w:color="auto"/>
              <w:right w:val="nil"/>
            </w:tcBorders>
            <w:shd w:val="clear" w:color="auto" w:fill="auto"/>
            <w:noWrap/>
            <w:vAlign w:val="center"/>
            <w:hideMark/>
          </w:tcPr>
          <w:p w14:paraId="3945BBDA"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Min</w:t>
            </w:r>
          </w:p>
        </w:tc>
        <w:tc>
          <w:tcPr>
            <w:tcW w:w="817" w:type="dxa"/>
            <w:tcBorders>
              <w:top w:val="nil"/>
              <w:left w:val="nil"/>
              <w:bottom w:val="single" w:sz="4" w:space="0" w:color="auto"/>
              <w:right w:val="nil"/>
            </w:tcBorders>
            <w:shd w:val="clear" w:color="auto" w:fill="auto"/>
            <w:noWrap/>
            <w:vAlign w:val="center"/>
            <w:hideMark/>
          </w:tcPr>
          <w:p w14:paraId="43447E00"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Max</w:t>
            </w:r>
          </w:p>
        </w:tc>
        <w:tc>
          <w:tcPr>
            <w:tcW w:w="1271" w:type="dxa"/>
            <w:tcBorders>
              <w:top w:val="nil"/>
              <w:left w:val="nil"/>
              <w:bottom w:val="single" w:sz="4" w:space="0" w:color="auto"/>
              <w:right w:val="nil"/>
            </w:tcBorders>
            <w:shd w:val="clear" w:color="auto" w:fill="auto"/>
            <w:noWrap/>
            <w:vAlign w:val="center"/>
            <w:hideMark/>
          </w:tcPr>
          <w:p w14:paraId="35A29DBE" w14:textId="3D5F6F80"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Nb Cases &gt;1</w:t>
            </w:r>
            <w:r w:rsidR="007E14EE" w:rsidRPr="008173C7">
              <w:rPr>
                <w:rFonts w:eastAsia="Times New Roman" w:cs="Times New Roman"/>
                <w:lang w:val="en-US" w:eastAsia="fr-FR"/>
              </w:rPr>
              <w:t>/5</w:t>
            </w:r>
          </w:p>
        </w:tc>
      </w:tr>
      <w:tr w:rsidR="00771BF6" w:rsidRPr="008173C7" w14:paraId="1463B933" w14:textId="77777777" w:rsidTr="009500DD">
        <w:trPr>
          <w:trHeight w:val="300"/>
        </w:trPr>
        <w:tc>
          <w:tcPr>
            <w:tcW w:w="4977" w:type="dxa"/>
            <w:tcBorders>
              <w:top w:val="nil"/>
              <w:left w:val="nil"/>
              <w:bottom w:val="single" w:sz="4" w:space="0" w:color="auto"/>
              <w:right w:val="nil"/>
            </w:tcBorders>
            <w:shd w:val="clear" w:color="auto" w:fill="auto"/>
            <w:noWrap/>
            <w:vAlign w:val="bottom"/>
            <w:hideMark/>
          </w:tcPr>
          <w:p w14:paraId="673B32BE" w14:textId="77777777" w:rsidR="007F3D74" w:rsidRPr="008173C7" w:rsidRDefault="009500DD" w:rsidP="00E65323">
            <w:pPr>
              <w:spacing w:after="0" w:line="240" w:lineRule="auto"/>
              <w:jc w:val="left"/>
              <w:rPr>
                <w:rFonts w:eastAsia="Times New Roman" w:cs="Times New Roman"/>
                <w:lang w:val="en-US" w:eastAsia="fr-FR"/>
              </w:rPr>
            </w:pPr>
            <w:r w:rsidRPr="008173C7">
              <w:rPr>
                <w:rFonts w:eastAsia="Times New Roman" w:cs="Times New Roman"/>
                <w:lang w:val="en-US" w:eastAsia="fr-FR"/>
              </w:rPr>
              <w:t>Global p</w:t>
            </w:r>
            <w:r w:rsidR="007F3D74" w:rsidRPr="008173C7">
              <w:rPr>
                <w:rFonts w:eastAsia="Times New Roman" w:cs="Times New Roman"/>
                <w:lang w:val="en-US" w:eastAsia="fr-FR"/>
              </w:rPr>
              <w:t>olitical impact</w:t>
            </w:r>
          </w:p>
        </w:tc>
        <w:tc>
          <w:tcPr>
            <w:tcW w:w="1275" w:type="dxa"/>
            <w:tcBorders>
              <w:top w:val="nil"/>
              <w:left w:val="nil"/>
              <w:bottom w:val="single" w:sz="4" w:space="0" w:color="auto"/>
              <w:right w:val="nil"/>
            </w:tcBorders>
            <w:shd w:val="clear" w:color="auto" w:fill="auto"/>
            <w:noWrap/>
            <w:vAlign w:val="center"/>
            <w:hideMark/>
          </w:tcPr>
          <w:p w14:paraId="65168D1F"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3,0</w:t>
            </w:r>
          </w:p>
        </w:tc>
        <w:tc>
          <w:tcPr>
            <w:tcW w:w="817" w:type="dxa"/>
            <w:tcBorders>
              <w:top w:val="nil"/>
              <w:left w:val="nil"/>
              <w:bottom w:val="single" w:sz="4" w:space="0" w:color="auto"/>
              <w:right w:val="nil"/>
            </w:tcBorders>
            <w:shd w:val="clear" w:color="auto" w:fill="auto"/>
            <w:noWrap/>
            <w:vAlign w:val="center"/>
            <w:hideMark/>
          </w:tcPr>
          <w:p w14:paraId="2D30BFE5"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1,5</w:t>
            </w:r>
          </w:p>
        </w:tc>
        <w:tc>
          <w:tcPr>
            <w:tcW w:w="817" w:type="dxa"/>
            <w:tcBorders>
              <w:top w:val="nil"/>
              <w:left w:val="nil"/>
              <w:bottom w:val="single" w:sz="4" w:space="0" w:color="auto"/>
              <w:right w:val="nil"/>
            </w:tcBorders>
            <w:shd w:val="clear" w:color="auto" w:fill="auto"/>
            <w:noWrap/>
            <w:vAlign w:val="center"/>
            <w:hideMark/>
          </w:tcPr>
          <w:p w14:paraId="423E81AB"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4,8</w:t>
            </w:r>
          </w:p>
        </w:tc>
        <w:tc>
          <w:tcPr>
            <w:tcW w:w="1271" w:type="dxa"/>
            <w:tcBorders>
              <w:top w:val="nil"/>
              <w:left w:val="nil"/>
              <w:bottom w:val="single" w:sz="4" w:space="0" w:color="auto"/>
              <w:right w:val="nil"/>
            </w:tcBorders>
            <w:shd w:val="clear" w:color="auto" w:fill="auto"/>
            <w:noWrap/>
            <w:vAlign w:val="center"/>
            <w:hideMark/>
          </w:tcPr>
          <w:p w14:paraId="73014FEA"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23</w:t>
            </w:r>
          </w:p>
        </w:tc>
      </w:tr>
      <w:tr w:rsidR="00771BF6" w:rsidRPr="008173C7" w14:paraId="0420BAD1" w14:textId="77777777" w:rsidTr="009500DD">
        <w:trPr>
          <w:trHeight w:val="300"/>
        </w:trPr>
        <w:tc>
          <w:tcPr>
            <w:tcW w:w="4977" w:type="dxa"/>
            <w:tcBorders>
              <w:top w:val="nil"/>
              <w:left w:val="nil"/>
              <w:bottom w:val="nil"/>
              <w:right w:val="nil"/>
            </w:tcBorders>
            <w:shd w:val="clear" w:color="auto" w:fill="auto"/>
            <w:noWrap/>
            <w:vAlign w:val="bottom"/>
            <w:hideMark/>
          </w:tcPr>
          <w:p w14:paraId="50C4904D" w14:textId="77777777" w:rsidR="007F3D74" w:rsidRPr="008173C7" w:rsidRDefault="007F3D74" w:rsidP="00E65323">
            <w:pPr>
              <w:spacing w:after="0" w:line="240" w:lineRule="auto"/>
              <w:jc w:val="left"/>
              <w:rPr>
                <w:rFonts w:eastAsia="Times New Roman" w:cs="Times New Roman"/>
                <w:lang w:val="en-US" w:eastAsia="fr-FR"/>
              </w:rPr>
            </w:pPr>
            <w:r w:rsidRPr="008173C7">
              <w:rPr>
                <w:rFonts w:eastAsia="Times New Roman" w:cs="Times New Roman"/>
                <w:lang w:val="en-US" w:eastAsia="fr-FR"/>
              </w:rPr>
              <w:t>Use in public debate (X1)</w:t>
            </w:r>
          </w:p>
        </w:tc>
        <w:tc>
          <w:tcPr>
            <w:tcW w:w="1275" w:type="dxa"/>
            <w:tcBorders>
              <w:top w:val="nil"/>
              <w:left w:val="nil"/>
              <w:bottom w:val="nil"/>
              <w:right w:val="nil"/>
            </w:tcBorders>
            <w:shd w:val="clear" w:color="auto" w:fill="auto"/>
            <w:noWrap/>
            <w:vAlign w:val="center"/>
            <w:hideMark/>
          </w:tcPr>
          <w:p w14:paraId="1FE0AB59"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2,6</w:t>
            </w:r>
          </w:p>
        </w:tc>
        <w:tc>
          <w:tcPr>
            <w:tcW w:w="817" w:type="dxa"/>
            <w:tcBorders>
              <w:top w:val="nil"/>
              <w:left w:val="nil"/>
              <w:bottom w:val="nil"/>
              <w:right w:val="nil"/>
            </w:tcBorders>
            <w:shd w:val="clear" w:color="auto" w:fill="auto"/>
            <w:noWrap/>
            <w:vAlign w:val="center"/>
            <w:hideMark/>
          </w:tcPr>
          <w:p w14:paraId="091A32DA"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1</w:t>
            </w:r>
          </w:p>
        </w:tc>
        <w:tc>
          <w:tcPr>
            <w:tcW w:w="817" w:type="dxa"/>
            <w:tcBorders>
              <w:top w:val="nil"/>
              <w:left w:val="nil"/>
              <w:bottom w:val="nil"/>
              <w:right w:val="nil"/>
            </w:tcBorders>
            <w:shd w:val="clear" w:color="auto" w:fill="auto"/>
            <w:noWrap/>
            <w:vAlign w:val="center"/>
            <w:hideMark/>
          </w:tcPr>
          <w:p w14:paraId="4D1D8D8A"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5</w:t>
            </w:r>
          </w:p>
        </w:tc>
        <w:tc>
          <w:tcPr>
            <w:tcW w:w="1271" w:type="dxa"/>
            <w:tcBorders>
              <w:top w:val="nil"/>
              <w:left w:val="nil"/>
              <w:bottom w:val="nil"/>
              <w:right w:val="nil"/>
            </w:tcBorders>
            <w:shd w:val="clear" w:color="auto" w:fill="auto"/>
            <w:noWrap/>
            <w:vAlign w:val="center"/>
            <w:hideMark/>
          </w:tcPr>
          <w:p w14:paraId="01CBD7C1"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16</w:t>
            </w:r>
          </w:p>
        </w:tc>
      </w:tr>
      <w:tr w:rsidR="00771BF6" w:rsidRPr="008173C7" w14:paraId="046F0EF2" w14:textId="77777777" w:rsidTr="009500DD">
        <w:trPr>
          <w:trHeight w:val="300"/>
        </w:trPr>
        <w:tc>
          <w:tcPr>
            <w:tcW w:w="4977" w:type="dxa"/>
            <w:tcBorders>
              <w:top w:val="nil"/>
              <w:left w:val="nil"/>
              <w:bottom w:val="nil"/>
              <w:right w:val="nil"/>
            </w:tcBorders>
            <w:shd w:val="clear" w:color="auto" w:fill="auto"/>
            <w:noWrap/>
            <w:vAlign w:val="bottom"/>
            <w:hideMark/>
          </w:tcPr>
          <w:p w14:paraId="76ABA423" w14:textId="77777777" w:rsidR="007F3D74" w:rsidRPr="008173C7" w:rsidRDefault="007F3D74" w:rsidP="00E65323">
            <w:pPr>
              <w:spacing w:after="0" w:line="240" w:lineRule="auto"/>
              <w:jc w:val="left"/>
              <w:rPr>
                <w:rFonts w:eastAsia="Times New Roman" w:cs="Times New Roman"/>
                <w:lang w:val="en-US" w:eastAsia="fr-FR"/>
              </w:rPr>
            </w:pPr>
            <w:r w:rsidRPr="008173C7">
              <w:rPr>
                <w:rFonts w:eastAsia="Times New Roman" w:cs="Times New Roman"/>
                <w:lang w:val="en-US" w:eastAsia="fr-FR"/>
              </w:rPr>
              <w:t>Use in policy-making (x1)</w:t>
            </w:r>
          </w:p>
        </w:tc>
        <w:tc>
          <w:tcPr>
            <w:tcW w:w="1275" w:type="dxa"/>
            <w:tcBorders>
              <w:top w:val="nil"/>
              <w:left w:val="nil"/>
              <w:bottom w:val="nil"/>
              <w:right w:val="nil"/>
            </w:tcBorders>
            <w:shd w:val="clear" w:color="auto" w:fill="auto"/>
            <w:noWrap/>
            <w:vAlign w:val="center"/>
            <w:hideMark/>
          </w:tcPr>
          <w:p w14:paraId="31C4DD19"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3,6</w:t>
            </w:r>
          </w:p>
        </w:tc>
        <w:tc>
          <w:tcPr>
            <w:tcW w:w="817" w:type="dxa"/>
            <w:tcBorders>
              <w:top w:val="nil"/>
              <w:left w:val="nil"/>
              <w:bottom w:val="nil"/>
              <w:right w:val="nil"/>
            </w:tcBorders>
            <w:shd w:val="clear" w:color="auto" w:fill="auto"/>
            <w:noWrap/>
            <w:vAlign w:val="center"/>
            <w:hideMark/>
          </w:tcPr>
          <w:p w14:paraId="6862E584"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2</w:t>
            </w:r>
          </w:p>
        </w:tc>
        <w:tc>
          <w:tcPr>
            <w:tcW w:w="817" w:type="dxa"/>
            <w:tcBorders>
              <w:top w:val="nil"/>
              <w:left w:val="nil"/>
              <w:bottom w:val="nil"/>
              <w:right w:val="nil"/>
            </w:tcBorders>
            <w:shd w:val="clear" w:color="auto" w:fill="auto"/>
            <w:noWrap/>
            <w:vAlign w:val="center"/>
            <w:hideMark/>
          </w:tcPr>
          <w:p w14:paraId="350BE633"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5</w:t>
            </w:r>
          </w:p>
        </w:tc>
        <w:tc>
          <w:tcPr>
            <w:tcW w:w="1271" w:type="dxa"/>
            <w:tcBorders>
              <w:top w:val="nil"/>
              <w:left w:val="nil"/>
              <w:bottom w:val="nil"/>
              <w:right w:val="nil"/>
            </w:tcBorders>
            <w:shd w:val="clear" w:color="auto" w:fill="auto"/>
            <w:noWrap/>
            <w:vAlign w:val="center"/>
            <w:hideMark/>
          </w:tcPr>
          <w:p w14:paraId="248B05ED"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23</w:t>
            </w:r>
          </w:p>
        </w:tc>
      </w:tr>
      <w:tr w:rsidR="00771BF6" w:rsidRPr="008173C7" w14:paraId="47E51BBB" w14:textId="77777777" w:rsidTr="009500DD">
        <w:trPr>
          <w:trHeight w:val="300"/>
        </w:trPr>
        <w:tc>
          <w:tcPr>
            <w:tcW w:w="4977" w:type="dxa"/>
            <w:tcBorders>
              <w:top w:val="nil"/>
              <w:left w:val="nil"/>
              <w:bottom w:val="nil"/>
              <w:right w:val="nil"/>
            </w:tcBorders>
            <w:shd w:val="clear" w:color="auto" w:fill="auto"/>
            <w:noWrap/>
            <w:vAlign w:val="bottom"/>
            <w:hideMark/>
          </w:tcPr>
          <w:p w14:paraId="339D1615" w14:textId="77777777" w:rsidR="007F3D74" w:rsidRPr="008173C7" w:rsidRDefault="007F3D74" w:rsidP="00E65323">
            <w:pPr>
              <w:spacing w:after="0" w:line="240" w:lineRule="auto"/>
              <w:jc w:val="left"/>
              <w:rPr>
                <w:rFonts w:eastAsia="Times New Roman" w:cs="Times New Roman"/>
                <w:lang w:val="en-US" w:eastAsia="fr-FR"/>
              </w:rPr>
            </w:pPr>
            <w:r w:rsidRPr="008173C7">
              <w:rPr>
                <w:rFonts w:eastAsia="Times New Roman" w:cs="Times New Roman"/>
                <w:lang w:val="en-US" w:eastAsia="fr-FR"/>
              </w:rPr>
              <w:t>Long-term percolation of ideas (X1)</w:t>
            </w:r>
          </w:p>
        </w:tc>
        <w:tc>
          <w:tcPr>
            <w:tcW w:w="1275" w:type="dxa"/>
            <w:tcBorders>
              <w:top w:val="nil"/>
              <w:left w:val="nil"/>
              <w:bottom w:val="nil"/>
              <w:right w:val="nil"/>
            </w:tcBorders>
            <w:shd w:val="clear" w:color="auto" w:fill="auto"/>
            <w:noWrap/>
            <w:vAlign w:val="center"/>
            <w:hideMark/>
          </w:tcPr>
          <w:p w14:paraId="2C64F800"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2,4</w:t>
            </w:r>
          </w:p>
        </w:tc>
        <w:tc>
          <w:tcPr>
            <w:tcW w:w="817" w:type="dxa"/>
            <w:tcBorders>
              <w:top w:val="nil"/>
              <w:left w:val="nil"/>
              <w:bottom w:val="nil"/>
              <w:right w:val="nil"/>
            </w:tcBorders>
            <w:shd w:val="clear" w:color="auto" w:fill="auto"/>
            <w:noWrap/>
            <w:vAlign w:val="center"/>
            <w:hideMark/>
          </w:tcPr>
          <w:p w14:paraId="388ADFB5"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1</w:t>
            </w:r>
          </w:p>
        </w:tc>
        <w:tc>
          <w:tcPr>
            <w:tcW w:w="817" w:type="dxa"/>
            <w:tcBorders>
              <w:top w:val="nil"/>
              <w:left w:val="nil"/>
              <w:bottom w:val="nil"/>
              <w:right w:val="nil"/>
            </w:tcBorders>
            <w:shd w:val="clear" w:color="auto" w:fill="auto"/>
            <w:noWrap/>
            <w:vAlign w:val="center"/>
            <w:hideMark/>
          </w:tcPr>
          <w:p w14:paraId="42B4F613"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4</w:t>
            </w:r>
          </w:p>
        </w:tc>
        <w:tc>
          <w:tcPr>
            <w:tcW w:w="1271" w:type="dxa"/>
            <w:tcBorders>
              <w:top w:val="nil"/>
              <w:left w:val="nil"/>
              <w:bottom w:val="nil"/>
              <w:right w:val="nil"/>
            </w:tcBorders>
            <w:shd w:val="clear" w:color="auto" w:fill="auto"/>
            <w:noWrap/>
            <w:vAlign w:val="center"/>
            <w:hideMark/>
          </w:tcPr>
          <w:p w14:paraId="33511025" w14:textId="77777777" w:rsidR="007F3D74" w:rsidRPr="008173C7" w:rsidRDefault="007F3D74" w:rsidP="00E65323">
            <w:pPr>
              <w:spacing w:after="0" w:line="240" w:lineRule="auto"/>
              <w:jc w:val="center"/>
              <w:rPr>
                <w:rFonts w:eastAsia="Times New Roman" w:cs="Times New Roman"/>
                <w:bCs/>
                <w:lang w:val="en-US" w:eastAsia="fr-FR"/>
              </w:rPr>
            </w:pPr>
            <w:r w:rsidRPr="008173C7">
              <w:rPr>
                <w:rFonts w:eastAsia="Times New Roman" w:cs="Times New Roman"/>
                <w:bCs/>
                <w:lang w:val="en-US" w:eastAsia="fr-FR"/>
              </w:rPr>
              <w:t>17</w:t>
            </w:r>
          </w:p>
        </w:tc>
      </w:tr>
      <w:tr w:rsidR="00771BF6" w:rsidRPr="008173C7" w14:paraId="0843C79C" w14:textId="77777777" w:rsidTr="009500DD">
        <w:trPr>
          <w:trHeight w:val="300"/>
        </w:trPr>
        <w:tc>
          <w:tcPr>
            <w:tcW w:w="4977" w:type="dxa"/>
            <w:tcBorders>
              <w:top w:val="nil"/>
              <w:left w:val="nil"/>
              <w:bottom w:val="nil"/>
              <w:right w:val="nil"/>
            </w:tcBorders>
            <w:shd w:val="clear" w:color="auto" w:fill="auto"/>
            <w:noWrap/>
            <w:vAlign w:val="bottom"/>
            <w:hideMark/>
          </w:tcPr>
          <w:p w14:paraId="3B65A8EE" w14:textId="77777777" w:rsidR="007F3D74" w:rsidRPr="008173C7" w:rsidRDefault="007F3D74" w:rsidP="00E65323">
            <w:pPr>
              <w:spacing w:after="0" w:line="240" w:lineRule="auto"/>
              <w:jc w:val="left"/>
              <w:rPr>
                <w:rFonts w:eastAsia="Times New Roman" w:cs="Times New Roman"/>
                <w:lang w:val="en-US" w:eastAsia="fr-FR"/>
              </w:rPr>
            </w:pPr>
            <w:r w:rsidRPr="008173C7">
              <w:rPr>
                <w:rFonts w:eastAsia="Times New Roman" w:cs="Times New Roman"/>
                <w:lang w:val="en-US" w:eastAsia="fr-FR"/>
              </w:rPr>
              <w:t>Societal importance of political domain at stakes (X3)</w:t>
            </w:r>
          </w:p>
        </w:tc>
        <w:tc>
          <w:tcPr>
            <w:tcW w:w="1275" w:type="dxa"/>
            <w:tcBorders>
              <w:top w:val="nil"/>
              <w:left w:val="nil"/>
              <w:bottom w:val="nil"/>
              <w:right w:val="nil"/>
            </w:tcBorders>
            <w:shd w:val="clear" w:color="auto" w:fill="auto"/>
            <w:noWrap/>
            <w:vAlign w:val="center"/>
            <w:hideMark/>
          </w:tcPr>
          <w:p w14:paraId="460E7DB0"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3,1</w:t>
            </w:r>
          </w:p>
        </w:tc>
        <w:tc>
          <w:tcPr>
            <w:tcW w:w="817" w:type="dxa"/>
            <w:tcBorders>
              <w:top w:val="nil"/>
              <w:left w:val="nil"/>
              <w:bottom w:val="nil"/>
              <w:right w:val="nil"/>
            </w:tcBorders>
            <w:shd w:val="clear" w:color="auto" w:fill="auto"/>
            <w:noWrap/>
            <w:vAlign w:val="center"/>
            <w:hideMark/>
          </w:tcPr>
          <w:p w14:paraId="34F8B0DD"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1</w:t>
            </w:r>
          </w:p>
        </w:tc>
        <w:tc>
          <w:tcPr>
            <w:tcW w:w="817" w:type="dxa"/>
            <w:tcBorders>
              <w:top w:val="nil"/>
              <w:left w:val="nil"/>
              <w:bottom w:val="nil"/>
              <w:right w:val="nil"/>
            </w:tcBorders>
            <w:shd w:val="clear" w:color="auto" w:fill="auto"/>
            <w:noWrap/>
            <w:vAlign w:val="center"/>
            <w:hideMark/>
          </w:tcPr>
          <w:p w14:paraId="43A5E5A7"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5</w:t>
            </w:r>
          </w:p>
        </w:tc>
        <w:tc>
          <w:tcPr>
            <w:tcW w:w="1271" w:type="dxa"/>
            <w:tcBorders>
              <w:top w:val="nil"/>
              <w:left w:val="nil"/>
              <w:bottom w:val="nil"/>
              <w:right w:val="nil"/>
            </w:tcBorders>
            <w:shd w:val="clear" w:color="auto" w:fill="auto"/>
            <w:noWrap/>
            <w:vAlign w:val="center"/>
            <w:hideMark/>
          </w:tcPr>
          <w:p w14:paraId="4E680990" w14:textId="77777777" w:rsidR="007F3D74" w:rsidRPr="008173C7" w:rsidRDefault="007F3D74" w:rsidP="00E65323">
            <w:pPr>
              <w:spacing w:after="0" w:line="240" w:lineRule="auto"/>
              <w:jc w:val="center"/>
              <w:rPr>
                <w:rFonts w:eastAsia="Times New Roman" w:cs="Times New Roman"/>
                <w:lang w:val="en-US" w:eastAsia="fr-FR"/>
              </w:rPr>
            </w:pPr>
            <w:r w:rsidRPr="008173C7">
              <w:rPr>
                <w:rFonts w:eastAsia="Times New Roman" w:cs="Times New Roman"/>
                <w:lang w:val="en-US" w:eastAsia="fr-FR"/>
              </w:rPr>
              <w:t>21</w:t>
            </w:r>
          </w:p>
        </w:tc>
      </w:tr>
    </w:tbl>
    <w:p w14:paraId="2B4D6D89" w14:textId="77777777" w:rsidR="004223A9" w:rsidRPr="008173C7" w:rsidRDefault="004223A9" w:rsidP="000401BB">
      <w:pPr>
        <w:spacing w:line="480" w:lineRule="auto"/>
        <w:rPr>
          <w:rFonts w:cs="Times New Roman"/>
          <w:lang w:val="en-US"/>
        </w:rPr>
      </w:pPr>
    </w:p>
    <w:p w14:paraId="546FEDA5" w14:textId="4DA34D55" w:rsidR="001D40DC" w:rsidRPr="008173C7" w:rsidRDefault="00EA1262" w:rsidP="000401BB">
      <w:pPr>
        <w:spacing w:line="480" w:lineRule="auto"/>
        <w:rPr>
          <w:rFonts w:cs="Times New Roman"/>
          <w:lang w:val="en-US"/>
        </w:rPr>
      </w:pPr>
      <w:r w:rsidRPr="008173C7">
        <w:rPr>
          <w:rFonts w:cs="Times New Roman"/>
          <w:lang w:val="en-US"/>
        </w:rPr>
        <w:t>T</w:t>
      </w:r>
      <w:r w:rsidR="00C169AE" w:rsidRPr="008173C7">
        <w:rPr>
          <w:rFonts w:cs="Times New Roman"/>
          <w:lang w:val="en-US"/>
        </w:rPr>
        <w:t xml:space="preserve">able </w:t>
      </w:r>
      <w:r w:rsidR="00C23BE9" w:rsidRPr="008173C7">
        <w:rPr>
          <w:rFonts w:cs="Times New Roman"/>
          <w:lang w:val="en-US"/>
        </w:rPr>
        <w:t>4</w:t>
      </w:r>
      <w:r w:rsidRPr="008173C7">
        <w:rPr>
          <w:rFonts w:cs="Times New Roman"/>
          <w:lang w:val="en-US"/>
        </w:rPr>
        <w:t xml:space="preserve"> </w:t>
      </w:r>
      <w:r w:rsidR="00B4562B" w:rsidRPr="008173C7">
        <w:rPr>
          <w:rFonts w:cs="Times New Roman"/>
          <w:lang w:val="en-US"/>
        </w:rPr>
        <w:t xml:space="preserve">shows </w:t>
      </w:r>
      <w:r w:rsidRPr="008173C7">
        <w:rPr>
          <w:rFonts w:cs="Times New Roman"/>
          <w:lang w:val="en-US"/>
        </w:rPr>
        <w:t xml:space="preserve">that </w:t>
      </w:r>
      <w:r w:rsidR="00B4562B" w:rsidRPr="008173C7">
        <w:rPr>
          <w:rFonts w:cs="Times New Roman"/>
          <w:lang w:val="en-US"/>
        </w:rPr>
        <w:t xml:space="preserve">the </w:t>
      </w:r>
      <w:r w:rsidRPr="008173C7">
        <w:rPr>
          <w:rFonts w:cs="Times New Roman"/>
          <w:lang w:val="en-US"/>
        </w:rPr>
        <w:t>p</w:t>
      </w:r>
      <w:r w:rsidR="00625512" w:rsidRPr="008173C7">
        <w:rPr>
          <w:rFonts w:cs="Times New Roman"/>
          <w:lang w:val="en-US"/>
        </w:rPr>
        <w:t xml:space="preserve">olitical impact </w:t>
      </w:r>
      <w:r w:rsidR="0076006F" w:rsidRPr="008173C7">
        <w:rPr>
          <w:rFonts w:cs="Times New Roman"/>
          <w:lang w:val="en-US"/>
        </w:rPr>
        <w:t xml:space="preserve">ratings for </w:t>
      </w:r>
      <w:r w:rsidR="00625512" w:rsidRPr="008173C7">
        <w:rPr>
          <w:rFonts w:cs="Times New Roman"/>
          <w:lang w:val="en-US"/>
        </w:rPr>
        <w:t xml:space="preserve">the 23 cases range </w:t>
      </w:r>
      <w:r w:rsidR="00C92382" w:rsidRPr="008173C7">
        <w:rPr>
          <w:rFonts w:cs="Times New Roman"/>
          <w:lang w:val="en-US"/>
        </w:rPr>
        <w:t xml:space="preserve">from </w:t>
      </w:r>
      <w:r w:rsidR="00C17B62" w:rsidRPr="008173C7">
        <w:rPr>
          <w:rFonts w:cs="Times New Roman"/>
          <w:lang w:val="en-US"/>
        </w:rPr>
        <w:t>1,5</w:t>
      </w:r>
      <w:r w:rsidR="00C92382" w:rsidRPr="008173C7">
        <w:rPr>
          <w:rFonts w:cs="Times New Roman"/>
          <w:lang w:val="en-US"/>
        </w:rPr>
        <w:t xml:space="preserve"> to </w:t>
      </w:r>
      <w:r w:rsidR="00C17B62" w:rsidRPr="008173C7">
        <w:rPr>
          <w:rFonts w:cs="Times New Roman"/>
          <w:lang w:val="en-US"/>
        </w:rPr>
        <w:t>4,8</w:t>
      </w:r>
      <w:r w:rsidR="003617AC" w:rsidRPr="008173C7">
        <w:rPr>
          <w:rFonts w:cs="Times New Roman"/>
          <w:lang w:val="en-US"/>
        </w:rPr>
        <w:t xml:space="preserve">. </w:t>
      </w:r>
      <w:r w:rsidR="007E14EE" w:rsidRPr="008173C7">
        <w:rPr>
          <w:rFonts w:cs="Times New Roman"/>
          <w:lang w:val="en-US"/>
        </w:rPr>
        <w:t>T</w:t>
      </w:r>
      <w:r w:rsidR="003617AC" w:rsidRPr="008173C7">
        <w:rPr>
          <w:rFonts w:cs="Times New Roman"/>
          <w:lang w:val="en-US"/>
        </w:rPr>
        <w:t>he</w:t>
      </w:r>
      <w:r w:rsidR="00C461C9" w:rsidRPr="008173C7">
        <w:rPr>
          <w:rFonts w:cs="Times New Roman"/>
          <w:lang w:val="en-US"/>
        </w:rPr>
        <w:t xml:space="preserve"> scale</w:t>
      </w:r>
      <w:r w:rsidR="00C92382" w:rsidRPr="008173C7">
        <w:rPr>
          <w:rFonts w:cs="Times New Roman"/>
          <w:lang w:val="en-US"/>
        </w:rPr>
        <w:t xml:space="preserve"> </w:t>
      </w:r>
      <w:r w:rsidR="007E14EE" w:rsidRPr="008173C7">
        <w:rPr>
          <w:rFonts w:cs="Times New Roman"/>
          <w:lang w:val="en-US"/>
        </w:rPr>
        <w:t>enables</w:t>
      </w:r>
      <w:r w:rsidR="00C92382" w:rsidRPr="008173C7">
        <w:rPr>
          <w:rFonts w:cs="Times New Roman"/>
          <w:lang w:val="en-US"/>
        </w:rPr>
        <w:t xml:space="preserve"> </w:t>
      </w:r>
      <w:r w:rsidR="000021EB" w:rsidRPr="008173C7">
        <w:rPr>
          <w:rFonts w:cs="Times New Roman"/>
          <w:lang w:val="en-US"/>
        </w:rPr>
        <w:t xml:space="preserve">reasonable discrimination </w:t>
      </w:r>
      <w:r w:rsidR="003617AC" w:rsidRPr="008173C7">
        <w:rPr>
          <w:rFonts w:cs="Times New Roman"/>
          <w:lang w:val="en-US"/>
        </w:rPr>
        <w:t>along the four dimensions of political impact</w:t>
      </w:r>
      <w:r w:rsidR="00C92382" w:rsidRPr="008173C7">
        <w:rPr>
          <w:rFonts w:cs="Times New Roman"/>
          <w:lang w:val="en-US"/>
        </w:rPr>
        <w:t xml:space="preserve">. </w:t>
      </w:r>
      <w:r w:rsidR="004F3F5E" w:rsidRPr="008173C7">
        <w:rPr>
          <w:rFonts w:cs="Times New Roman"/>
          <w:lang w:val="en-US"/>
        </w:rPr>
        <w:t xml:space="preserve">It proved relevant to judge a diversity of cases ranging from </w:t>
      </w:r>
      <w:r w:rsidR="00170C1F" w:rsidRPr="008173C7">
        <w:rPr>
          <w:rFonts w:cs="Times New Roman"/>
          <w:lang w:val="en-US"/>
        </w:rPr>
        <w:t>approval</w:t>
      </w:r>
      <w:r w:rsidR="004F3F5E" w:rsidRPr="008173C7">
        <w:rPr>
          <w:rFonts w:cs="Times New Roman"/>
          <w:lang w:val="en-US"/>
        </w:rPr>
        <w:t xml:space="preserve"> of biocontrol products to </w:t>
      </w:r>
      <w:r w:rsidR="00170C1F" w:rsidRPr="008173C7">
        <w:rPr>
          <w:rFonts w:cs="Times New Roman"/>
          <w:lang w:val="en-US"/>
        </w:rPr>
        <w:t xml:space="preserve">design of non-toxic </w:t>
      </w:r>
      <w:r w:rsidR="007E14EE" w:rsidRPr="008173C7">
        <w:rPr>
          <w:rFonts w:cs="Times New Roman"/>
          <w:lang w:val="en-US"/>
        </w:rPr>
        <w:t>food</w:t>
      </w:r>
      <w:r w:rsidR="000021EB" w:rsidRPr="008173C7">
        <w:rPr>
          <w:rFonts w:cs="Times New Roman"/>
          <w:lang w:val="en-US"/>
        </w:rPr>
        <w:t xml:space="preserve"> </w:t>
      </w:r>
      <w:r w:rsidR="00170C1F" w:rsidRPr="008173C7">
        <w:rPr>
          <w:rFonts w:cs="Times New Roman"/>
          <w:lang w:val="en-US"/>
        </w:rPr>
        <w:t>packag</w:t>
      </w:r>
      <w:r w:rsidR="00B4562B" w:rsidRPr="008173C7">
        <w:rPr>
          <w:rFonts w:cs="Times New Roman"/>
          <w:lang w:val="en-US"/>
        </w:rPr>
        <w:t>ing</w:t>
      </w:r>
      <w:r w:rsidR="004F3F5E" w:rsidRPr="008173C7">
        <w:rPr>
          <w:rFonts w:cs="Times New Roman"/>
          <w:lang w:val="en-US"/>
        </w:rPr>
        <w:t>. It enabled good discrimination of the type an</w:t>
      </w:r>
      <w:r w:rsidR="007E14EE" w:rsidRPr="008173C7">
        <w:rPr>
          <w:rFonts w:cs="Times New Roman"/>
          <w:lang w:val="en-US"/>
        </w:rPr>
        <w:t>d intensity of political impact.</w:t>
      </w:r>
    </w:p>
    <w:p w14:paraId="64FCBAB7" w14:textId="767E927A" w:rsidR="00774D58" w:rsidRPr="008173C7" w:rsidRDefault="00614119" w:rsidP="000401BB">
      <w:pPr>
        <w:pStyle w:val="Titre1"/>
        <w:numPr>
          <w:ilvl w:val="0"/>
          <w:numId w:val="13"/>
        </w:numPr>
        <w:spacing w:after="200" w:line="480" w:lineRule="auto"/>
        <w:rPr>
          <w:rFonts w:ascii="Times New Roman" w:hAnsi="Times New Roman" w:cs="Times New Roman"/>
          <w:color w:val="auto"/>
          <w:lang w:val="en-US"/>
        </w:rPr>
      </w:pPr>
      <w:r w:rsidRPr="008173C7">
        <w:rPr>
          <w:rFonts w:ascii="Times New Roman" w:hAnsi="Times New Roman" w:cs="Times New Roman"/>
          <w:color w:val="auto"/>
          <w:lang w:val="en-US"/>
        </w:rPr>
        <w:t>Discussion</w:t>
      </w:r>
      <w:r w:rsidR="00FB0892" w:rsidRPr="008173C7">
        <w:rPr>
          <w:rFonts w:ascii="Times New Roman" w:hAnsi="Times New Roman" w:cs="Times New Roman"/>
          <w:color w:val="auto"/>
          <w:lang w:val="en-US"/>
        </w:rPr>
        <w:t xml:space="preserve">: the impact of </w:t>
      </w:r>
      <w:r w:rsidR="00361A7B" w:rsidRPr="008173C7">
        <w:rPr>
          <w:rFonts w:ascii="Times New Roman" w:hAnsi="Times New Roman" w:cs="Times New Roman"/>
          <w:color w:val="auto"/>
          <w:lang w:val="en-US"/>
        </w:rPr>
        <w:t>assessin</w:t>
      </w:r>
      <w:r w:rsidR="00FB0892" w:rsidRPr="008173C7">
        <w:rPr>
          <w:rFonts w:ascii="Times New Roman" w:hAnsi="Times New Roman" w:cs="Times New Roman"/>
          <w:color w:val="auto"/>
          <w:lang w:val="en-US"/>
        </w:rPr>
        <w:t>g political impact</w:t>
      </w:r>
      <w:r w:rsidRPr="008173C7">
        <w:rPr>
          <w:rFonts w:ascii="Times New Roman" w:hAnsi="Times New Roman" w:cs="Times New Roman"/>
          <w:color w:val="auto"/>
          <w:lang w:val="en-US"/>
        </w:rPr>
        <w:t xml:space="preserve"> </w:t>
      </w:r>
    </w:p>
    <w:p w14:paraId="7C3EFCBF" w14:textId="27652145" w:rsidR="00C2350A" w:rsidRPr="008173C7" w:rsidRDefault="00FA257E" w:rsidP="00FA257E">
      <w:pPr>
        <w:spacing w:line="480" w:lineRule="auto"/>
        <w:rPr>
          <w:rFonts w:cs="Times New Roman"/>
          <w:lang w:val="en-US"/>
        </w:rPr>
      </w:pPr>
      <w:r w:rsidRPr="008173C7">
        <w:rPr>
          <w:rFonts w:cs="Times New Roman"/>
          <w:lang w:val="en-US"/>
        </w:rPr>
        <w:t>Despite the</w:t>
      </w:r>
      <w:r w:rsidR="00D142F3" w:rsidRPr="008173C7">
        <w:rPr>
          <w:rFonts w:cs="Times New Roman"/>
          <w:lang w:val="en-US"/>
        </w:rPr>
        <w:t xml:space="preserve"> many instances</w:t>
      </w:r>
      <w:r w:rsidR="00570EB1" w:rsidRPr="008173C7">
        <w:rPr>
          <w:rFonts w:cs="Times New Roman"/>
          <w:lang w:val="en-US"/>
        </w:rPr>
        <w:t xml:space="preserve"> of misuse of quantification methods illustrated by different cases (including the use of scientometric for assessment of research quality) </w:t>
      </w:r>
      <w:r w:rsidRPr="008173C7">
        <w:rPr>
          <w:rFonts w:cs="Times New Roman"/>
          <w:lang w:val="en-US"/>
        </w:rPr>
        <w:t xml:space="preserve">we believe that the benefits </w:t>
      </w:r>
      <w:r w:rsidR="00E5560A" w:rsidRPr="008173C7">
        <w:rPr>
          <w:rFonts w:cs="Times New Roman"/>
          <w:lang w:val="en-US"/>
        </w:rPr>
        <w:t xml:space="preserve">provided by </w:t>
      </w:r>
      <w:r w:rsidRPr="008173C7">
        <w:rPr>
          <w:rFonts w:cs="Times New Roman"/>
          <w:lang w:val="en-US"/>
        </w:rPr>
        <w:t xml:space="preserve">our rating scale, </w:t>
      </w:r>
      <w:r w:rsidR="00E5560A" w:rsidRPr="008173C7">
        <w:rPr>
          <w:rFonts w:cs="Times New Roman"/>
          <w:lang w:val="en-US"/>
        </w:rPr>
        <w:t>which was constructed</w:t>
      </w:r>
      <w:r w:rsidRPr="008173C7">
        <w:rPr>
          <w:rFonts w:cs="Times New Roman"/>
          <w:lang w:val="en-US"/>
        </w:rPr>
        <w:t xml:space="preserve"> mainly to </w:t>
      </w:r>
      <w:r w:rsidR="00D142F3" w:rsidRPr="008173C7">
        <w:rPr>
          <w:rFonts w:cs="Times New Roman"/>
          <w:lang w:val="en-US"/>
        </w:rPr>
        <w:t>increase</w:t>
      </w:r>
      <w:r w:rsidRPr="008173C7">
        <w:rPr>
          <w:rFonts w:cs="Times New Roman"/>
          <w:lang w:val="en-US"/>
        </w:rPr>
        <w:t xml:space="preserve"> learning about the research-policy nexus, outweigh </w:t>
      </w:r>
      <w:r w:rsidR="00D142F3" w:rsidRPr="008173C7">
        <w:rPr>
          <w:rFonts w:cs="Times New Roman"/>
          <w:lang w:val="en-US"/>
        </w:rPr>
        <w:t>any</w:t>
      </w:r>
      <w:r w:rsidRPr="008173C7">
        <w:rPr>
          <w:rFonts w:cs="Times New Roman"/>
          <w:lang w:val="en-US"/>
        </w:rPr>
        <w:t xml:space="preserve"> risks</w:t>
      </w:r>
      <w:r w:rsidR="00D142F3" w:rsidRPr="008173C7">
        <w:rPr>
          <w:rFonts w:cs="Times New Roman"/>
          <w:lang w:val="en-US"/>
        </w:rPr>
        <w:t xml:space="preserve"> of its being used inappropriately</w:t>
      </w:r>
      <w:r w:rsidRPr="008173C7">
        <w:rPr>
          <w:rFonts w:cs="Times New Roman"/>
          <w:lang w:val="en-US"/>
        </w:rPr>
        <w:t>.</w:t>
      </w:r>
      <w:r w:rsidRPr="008173C7" w:rsidDel="00FA257E">
        <w:rPr>
          <w:rFonts w:cs="Times New Roman"/>
          <w:lang w:val="en-US"/>
        </w:rPr>
        <w:t xml:space="preserve"> </w:t>
      </w:r>
      <w:r w:rsidR="00092D88" w:rsidRPr="008173C7">
        <w:rPr>
          <w:rFonts w:cs="Times New Roman"/>
          <w:lang w:val="en-US"/>
        </w:rPr>
        <w:t xml:space="preserve">History shows that the power of numbers is high </w:t>
      </w:r>
      <w:r w:rsidR="00DA7E42" w:rsidRPr="00DA7E42">
        <w:rPr>
          <w:rFonts w:cs="Times New Roman"/>
          <w:lang w:val="en-US"/>
        </w:rPr>
        <w:t>(Porter 1996)</w:t>
      </w:r>
      <w:r w:rsidR="00A56356" w:rsidRPr="008173C7">
        <w:rPr>
          <w:rFonts w:cs="Times New Roman"/>
          <w:lang w:val="en-US"/>
        </w:rPr>
        <w:t>,</w:t>
      </w:r>
      <w:r w:rsidR="00306F4C" w:rsidRPr="008173C7">
        <w:rPr>
          <w:rFonts w:cs="Times New Roman"/>
          <w:lang w:val="en-US"/>
        </w:rPr>
        <w:t xml:space="preserve"> </w:t>
      </w:r>
      <w:r w:rsidR="00092D88" w:rsidRPr="008173C7">
        <w:rPr>
          <w:rFonts w:cs="Times New Roman"/>
          <w:lang w:val="en-US"/>
        </w:rPr>
        <w:t xml:space="preserve">and that </w:t>
      </w:r>
      <w:r w:rsidR="00361A7B" w:rsidRPr="008173C7">
        <w:rPr>
          <w:rFonts w:cs="Times New Roman"/>
          <w:lang w:val="en-US"/>
        </w:rPr>
        <w:t>counting</w:t>
      </w:r>
      <w:r w:rsidR="00092D88" w:rsidRPr="008173C7">
        <w:rPr>
          <w:rFonts w:cs="Times New Roman"/>
          <w:lang w:val="en-US"/>
        </w:rPr>
        <w:t xml:space="preserve"> what counts (</w:t>
      </w:r>
      <w:r w:rsidR="00A56356" w:rsidRPr="008173C7">
        <w:rPr>
          <w:rFonts w:cs="Times New Roman"/>
          <w:lang w:val="en-US"/>
        </w:rPr>
        <w:t>e.g.</w:t>
      </w:r>
      <w:r w:rsidR="00092D88" w:rsidRPr="008173C7">
        <w:rPr>
          <w:rFonts w:cs="Times New Roman"/>
          <w:lang w:val="en-US"/>
        </w:rPr>
        <w:t xml:space="preserve"> biodiversity, climate change, etc.) is instrumental </w:t>
      </w:r>
      <w:r w:rsidR="00A56356" w:rsidRPr="008173C7">
        <w:rPr>
          <w:rFonts w:cs="Times New Roman"/>
          <w:lang w:val="en-US"/>
        </w:rPr>
        <w:t xml:space="preserve">to </w:t>
      </w:r>
      <w:r w:rsidR="00092D88" w:rsidRPr="008173C7">
        <w:rPr>
          <w:rFonts w:cs="Times New Roman"/>
          <w:lang w:val="en-US"/>
        </w:rPr>
        <w:t>setting agenda</w:t>
      </w:r>
      <w:r w:rsidR="00A56356" w:rsidRPr="008173C7">
        <w:rPr>
          <w:rFonts w:cs="Times New Roman"/>
          <w:lang w:val="en-US"/>
        </w:rPr>
        <w:t>s</w:t>
      </w:r>
      <w:r w:rsidR="00092D88" w:rsidRPr="008173C7">
        <w:rPr>
          <w:rFonts w:cs="Times New Roman"/>
          <w:lang w:val="en-US"/>
        </w:rPr>
        <w:t xml:space="preserve"> and triggering/designing action. </w:t>
      </w:r>
      <w:r w:rsidR="00D73AB9" w:rsidRPr="008173C7">
        <w:rPr>
          <w:rFonts w:cs="Times New Roman"/>
          <w:lang w:val="en-US"/>
        </w:rPr>
        <w:t xml:space="preserve">Robust </w:t>
      </w:r>
      <w:r w:rsidR="00361A7B" w:rsidRPr="008173C7">
        <w:rPr>
          <w:rFonts w:cs="Times New Roman"/>
          <w:lang w:val="en-US"/>
        </w:rPr>
        <w:t>quantification</w:t>
      </w:r>
      <w:r w:rsidR="00A56356" w:rsidRPr="008173C7">
        <w:rPr>
          <w:rFonts w:cs="Times New Roman"/>
          <w:lang w:val="en-US"/>
        </w:rPr>
        <w:t xml:space="preserve"> of </w:t>
      </w:r>
      <w:r w:rsidR="00D73AB9" w:rsidRPr="008173C7">
        <w:rPr>
          <w:rFonts w:cs="Times New Roman"/>
          <w:lang w:val="en-US"/>
        </w:rPr>
        <w:t xml:space="preserve">societal impacts </w:t>
      </w:r>
      <w:r w:rsidR="00A56356" w:rsidRPr="008173C7">
        <w:rPr>
          <w:rFonts w:cs="Times New Roman"/>
          <w:lang w:val="en-US"/>
        </w:rPr>
        <w:t xml:space="preserve">allows case comparison, and analysis of </w:t>
      </w:r>
      <w:r w:rsidR="00D73AB9" w:rsidRPr="008173C7">
        <w:rPr>
          <w:rFonts w:cs="Times New Roman"/>
          <w:lang w:val="en-US"/>
        </w:rPr>
        <w:t xml:space="preserve">their diversity and multidimensionality. </w:t>
      </w:r>
      <w:r w:rsidR="00A56356" w:rsidRPr="008173C7">
        <w:rPr>
          <w:rFonts w:cs="Times New Roman"/>
          <w:lang w:val="en-US"/>
        </w:rPr>
        <w:t>In addition</w:t>
      </w:r>
      <w:r w:rsidR="00D73AB9" w:rsidRPr="008173C7">
        <w:rPr>
          <w:rFonts w:cs="Times New Roman"/>
          <w:lang w:val="en-US"/>
        </w:rPr>
        <w:t>, this ordinal measure allow</w:t>
      </w:r>
      <w:r w:rsidR="00092D88" w:rsidRPr="008173C7">
        <w:rPr>
          <w:rFonts w:cs="Times New Roman"/>
          <w:lang w:val="en-US"/>
        </w:rPr>
        <w:t>s</w:t>
      </w:r>
      <w:r w:rsidR="00D73AB9" w:rsidRPr="008173C7">
        <w:rPr>
          <w:rFonts w:cs="Times New Roman"/>
          <w:lang w:val="en-US"/>
        </w:rPr>
        <w:t xml:space="preserve"> political impact to be analyzed as a dependent variable of the impact pathway, opening the way for </w:t>
      </w:r>
      <w:r w:rsidR="00A56356" w:rsidRPr="008173C7">
        <w:rPr>
          <w:rFonts w:cs="Times New Roman"/>
          <w:lang w:val="en-US"/>
        </w:rPr>
        <w:t xml:space="preserve">an </w:t>
      </w:r>
      <w:r w:rsidR="00D73AB9" w:rsidRPr="008173C7">
        <w:rPr>
          <w:rFonts w:cs="Times New Roman"/>
          <w:lang w:val="en-US"/>
        </w:rPr>
        <w:t xml:space="preserve">elaborated understanding of </w:t>
      </w:r>
      <w:r w:rsidR="00A56356" w:rsidRPr="008173C7">
        <w:rPr>
          <w:rFonts w:cs="Times New Roman"/>
          <w:lang w:val="en-US"/>
        </w:rPr>
        <w:t xml:space="preserve">the </w:t>
      </w:r>
      <w:r w:rsidR="00D73AB9" w:rsidRPr="008173C7">
        <w:rPr>
          <w:rFonts w:cs="Times New Roman"/>
          <w:lang w:val="en-US"/>
        </w:rPr>
        <w:t>systematic patterns of impact pathways</w:t>
      </w:r>
      <w:r w:rsidR="003B7E46" w:rsidRPr="008173C7">
        <w:rPr>
          <w:rFonts w:cs="Times New Roman"/>
          <w:lang w:val="en-US"/>
        </w:rPr>
        <w:t xml:space="preserve"> (see </w:t>
      </w:r>
      <w:r w:rsidR="00DA7E42" w:rsidRPr="00DA7E42">
        <w:rPr>
          <w:rFonts w:cs="Times New Roman"/>
          <w:lang w:val="en-US"/>
        </w:rPr>
        <w:t>Matt et al. 2017</w:t>
      </w:r>
      <w:r w:rsidR="003B7E46" w:rsidRPr="008173C7">
        <w:rPr>
          <w:rFonts w:cs="Times New Roman"/>
          <w:lang w:val="en-US"/>
        </w:rPr>
        <w:t xml:space="preserve"> for a preliminary work in this area)</w:t>
      </w:r>
      <w:r w:rsidR="00D73AB9" w:rsidRPr="008173C7">
        <w:rPr>
          <w:rFonts w:cs="Times New Roman"/>
          <w:lang w:val="en-US"/>
        </w:rPr>
        <w:t>.</w:t>
      </w:r>
      <w:r w:rsidR="00306F4C" w:rsidRPr="008173C7">
        <w:rPr>
          <w:rFonts w:cs="Times New Roman"/>
          <w:lang w:val="en-US"/>
        </w:rPr>
        <w:t xml:space="preserve"> </w:t>
      </w:r>
      <w:r w:rsidR="00570EB1" w:rsidRPr="008173C7">
        <w:rPr>
          <w:rFonts w:cs="Times New Roman"/>
          <w:lang w:val="en-US"/>
        </w:rPr>
        <w:t>Q</w:t>
      </w:r>
      <w:r w:rsidR="00EF5333" w:rsidRPr="008173C7">
        <w:rPr>
          <w:rFonts w:cs="Times New Roman"/>
          <w:lang w:val="en-US"/>
        </w:rPr>
        <w:t>uantifying societal impact</w:t>
      </w:r>
      <w:r w:rsidR="00570EB1" w:rsidRPr="008173C7">
        <w:rPr>
          <w:rFonts w:cs="Times New Roman"/>
          <w:lang w:val="en-US"/>
        </w:rPr>
        <w:t xml:space="preserve"> can serve</w:t>
      </w:r>
      <w:r w:rsidR="00EF5333" w:rsidRPr="008173C7">
        <w:rPr>
          <w:rFonts w:cs="Times New Roman"/>
          <w:lang w:val="en-US"/>
        </w:rPr>
        <w:t xml:space="preserve"> learning </w:t>
      </w:r>
      <w:r w:rsidR="00570EB1" w:rsidRPr="008173C7">
        <w:rPr>
          <w:rFonts w:cs="Times New Roman"/>
          <w:lang w:val="en-US"/>
        </w:rPr>
        <w:t xml:space="preserve">purposes </w:t>
      </w:r>
      <w:r w:rsidR="00EF5333" w:rsidRPr="008173C7">
        <w:rPr>
          <w:rFonts w:cs="Times New Roman"/>
          <w:lang w:val="en-US"/>
        </w:rPr>
        <w:t>and promot</w:t>
      </w:r>
      <w:r w:rsidR="00570EB1" w:rsidRPr="008173C7">
        <w:rPr>
          <w:rFonts w:cs="Times New Roman"/>
          <w:lang w:val="en-US"/>
        </w:rPr>
        <w:t>e</w:t>
      </w:r>
      <w:r w:rsidR="00EF5333" w:rsidRPr="008173C7">
        <w:rPr>
          <w:rFonts w:cs="Times New Roman"/>
          <w:lang w:val="en-US"/>
        </w:rPr>
        <w:t xml:space="preserve"> </w:t>
      </w:r>
      <w:r w:rsidR="00570EB1" w:rsidRPr="008173C7">
        <w:rPr>
          <w:rFonts w:cs="Times New Roman"/>
          <w:lang w:val="en-US"/>
        </w:rPr>
        <w:t xml:space="preserve">an open debate </w:t>
      </w:r>
      <w:r w:rsidR="00A56356" w:rsidRPr="008173C7">
        <w:rPr>
          <w:rFonts w:cs="Times New Roman"/>
          <w:lang w:val="en-US"/>
        </w:rPr>
        <w:t xml:space="preserve">of </w:t>
      </w:r>
      <w:r w:rsidR="00EF5333" w:rsidRPr="008173C7">
        <w:rPr>
          <w:rFonts w:cs="Times New Roman"/>
          <w:lang w:val="en-US"/>
        </w:rPr>
        <w:t>the value systems reflected in the assessment</w:t>
      </w:r>
      <w:r w:rsidR="00D0678D" w:rsidRPr="008173C7">
        <w:rPr>
          <w:rFonts w:cs="Times New Roman"/>
          <w:lang w:val="en-US"/>
        </w:rPr>
        <w:t xml:space="preserve">. </w:t>
      </w:r>
    </w:p>
    <w:p w14:paraId="579A28AB" w14:textId="6EF9D3ED" w:rsidR="00EF5333" w:rsidRPr="008173C7" w:rsidRDefault="00D0678D" w:rsidP="000401BB">
      <w:pPr>
        <w:spacing w:line="480" w:lineRule="auto"/>
        <w:rPr>
          <w:rFonts w:cs="Times New Roman"/>
          <w:lang w:val="en-US"/>
        </w:rPr>
      </w:pPr>
      <w:r w:rsidRPr="008173C7">
        <w:rPr>
          <w:rFonts w:cs="Times New Roman"/>
          <w:lang w:val="en-US"/>
        </w:rPr>
        <w:t>In this discussion, we argue that the risks of misuse are limited</w:t>
      </w:r>
      <w:r w:rsidR="00EF5333" w:rsidRPr="008173C7">
        <w:rPr>
          <w:rFonts w:cs="Times New Roman"/>
          <w:lang w:val="en-US"/>
        </w:rPr>
        <w:t xml:space="preserve"> </w:t>
      </w:r>
      <w:r w:rsidRPr="008173C7">
        <w:rPr>
          <w:rFonts w:cs="Times New Roman"/>
          <w:lang w:val="en-US"/>
        </w:rPr>
        <w:t xml:space="preserve">by the intrinsic properties of the rating scale. We argue </w:t>
      </w:r>
      <w:r w:rsidR="00A56356" w:rsidRPr="008173C7">
        <w:rPr>
          <w:rFonts w:cs="Times New Roman"/>
          <w:lang w:val="en-US"/>
        </w:rPr>
        <w:t xml:space="preserve">also </w:t>
      </w:r>
      <w:r w:rsidRPr="008173C7">
        <w:rPr>
          <w:rFonts w:cs="Times New Roman"/>
          <w:lang w:val="en-US"/>
        </w:rPr>
        <w:t>that the extrinsic features, namely the overall design of the research assessment as a learning tool, are essential for producing the expected benefits.</w:t>
      </w:r>
      <w:r w:rsidR="00962FCF" w:rsidRPr="008173C7">
        <w:rPr>
          <w:rFonts w:cs="Times New Roman"/>
          <w:lang w:val="en-US"/>
        </w:rPr>
        <w:t xml:space="preserve"> </w:t>
      </w:r>
    </w:p>
    <w:p w14:paraId="5016FD2A" w14:textId="68E3A782" w:rsidR="00EF5333" w:rsidRPr="008173C7" w:rsidRDefault="00962FCF" w:rsidP="000401BB">
      <w:pPr>
        <w:numPr>
          <w:ilvl w:val="1"/>
          <w:numId w:val="13"/>
        </w:numPr>
        <w:spacing w:after="160" w:line="480" w:lineRule="auto"/>
        <w:jc w:val="left"/>
        <w:rPr>
          <w:rFonts w:cs="Times New Roman"/>
          <w:b/>
          <w:bCs/>
          <w:lang w:val="en-US"/>
        </w:rPr>
      </w:pPr>
      <w:r w:rsidRPr="008173C7">
        <w:rPr>
          <w:rFonts w:cs="Times New Roman"/>
          <w:b/>
          <w:bCs/>
          <w:lang w:val="en-US"/>
        </w:rPr>
        <w:t>The intrinsic properties of the rating scale</w:t>
      </w:r>
      <w:r w:rsidR="00EF5333" w:rsidRPr="008173C7">
        <w:rPr>
          <w:rFonts w:cs="Times New Roman"/>
          <w:b/>
          <w:bCs/>
          <w:lang w:val="en-US"/>
        </w:rPr>
        <w:t xml:space="preserve"> </w:t>
      </w:r>
    </w:p>
    <w:p w14:paraId="1863E097" w14:textId="6BFDAAA9" w:rsidR="008A3B6E" w:rsidRPr="008173C7" w:rsidRDefault="00A56356" w:rsidP="000401BB">
      <w:pPr>
        <w:spacing w:line="480" w:lineRule="auto"/>
        <w:rPr>
          <w:rFonts w:cs="Times New Roman"/>
          <w:lang w:val="en-US"/>
        </w:rPr>
      </w:pPr>
      <w:r w:rsidRPr="008173C7">
        <w:rPr>
          <w:rFonts w:cs="Times New Roman"/>
          <w:lang w:val="en-US"/>
        </w:rPr>
        <w:t xml:space="preserve">Since </w:t>
      </w:r>
      <w:r w:rsidR="00962FCF" w:rsidRPr="008173C7">
        <w:rPr>
          <w:rFonts w:cs="Times New Roman"/>
          <w:lang w:val="en-US"/>
        </w:rPr>
        <w:t>different stakeholders have different</w:t>
      </w:r>
      <w:r w:rsidR="00F63297" w:rsidRPr="008173C7">
        <w:rPr>
          <w:rFonts w:cs="Times New Roman"/>
          <w:lang w:val="en-US"/>
        </w:rPr>
        <w:t xml:space="preserve"> commitments</w:t>
      </w:r>
      <w:r w:rsidR="00962FCF" w:rsidRPr="008173C7">
        <w:rPr>
          <w:rFonts w:cs="Times New Roman"/>
          <w:lang w:val="en-US"/>
        </w:rPr>
        <w:t xml:space="preserve"> and interests, it is likely that their rankings of societal impact of research will not coincide </w:t>
      </w:r>
      <w:r w:rsidR="00B44642">
        <w:rPr>
          <w:rFonts w:cs="Times New Roman"/>
          <w:lang w:val="en-US"/>
        </w:rPr>
        <w:t>(Spaapen and</w:t>
      </w:r>
      <w:r w:rsidR="00DA7E42" w:rsidRPr="00DA7E42">
        <w:rPr>
          <w:rFonts w:cs="Times New Roman"/>
          <w:lang w:val="en-US"/>
        </w:rPr>
        <w:t xml:space="preserve"> Van Drooge 2011)</w:t>
      </w:r>
      <w:r w:rsidR="00962FCF" w:rsidRPr="008173C7">
        <w:rPr>
          <w:rFonts w:cs="Times New Roman"/>
          <w:lang w:val="en-US"/>
        </w:rPr>
        <w:t xml:space="preserve">. </w:t>
      </w:r>
      <w:r w:rsidR="00F358F5" w:rsidRPr="008173C7">
        <w:rPr>
          <w:rFonts w:cs="Times New Roman"/>
          <w:lang w:val="en-US"/>
        </w:rPr>
        <w:t xml:space="preserve">In this paper, </w:t>
      </w:r>
      <w:r w:rsidR="005B49C6" w:rsidRPr="008173C7">
        <w:rPr>
          <w:rFonts w:cs="Times New Roman"/>
          <w:lang w:val="en-US"/>
        </w:rPr>
        <w:t xml:space="preserve">the design </w:t>
      </w:r>
      <w:r w:rsidR="00306F4C" w:rsidRPr="008173C7">
        <w:rPr>
          <w:rFonts w:cs="Times New Roman"/>
          <w:lang w:val="en-US"/>
        </w:rPr>
        <w:t xml:space="preserve">of </w:t>
      </w:r>
      <w:r w:rsidR="00F358F5" w:rsidRPr="008173C7">
        <w:rPr>
          <w:rFonts w:cs="Times New Roman"/>
          <w:lang w:val="en-US"/>
        </w:rPr>
        <w:t xml:space="preserve">a rating scale </w:t>
      </w:r>
      <w:r w:rsidR="006D76E5" w:rsidRPr="008173C7">
        <w:rPr>
          <w:rFonts w:cs="Times New Roman"/>
          <w:lang w:val="en-US"/>
        </w:rPr>
        <w:t xml:space="preserve">for policy impact </w:t>
      </w:r>
      <w:r w:rsidRPr="008173C7">
        <w:rPr>
          <w:rFonts w:cs="Times New Roman"/>
          <w:lang w:val="en-US"/>
        </w:rPr>
        <w:t xml:space="preserve">was </w:t>
      </w:r>
      <w:r w:rsidR="005B49C6" w:rsidRPr="008173C7">
        <w:rPr>
          <w:rFonts w:cs="Times New Roman"/>
          <w:lang w:val="en-US"/>
        </w:rPr>
        <w:t>aimed</w:t>
      </w:r>
      <w:r w:rsidR="00F358F5" w:rsidRPr="008173C7">
        <w:rPr>
          <w:rFonts w:cs="Times New Roman"/>
          <w:lang w:val="en-US"/>
        </w:rPr>
        <w:t xml:space="preserve"> at providing a robust </w:t>
      </w:r>
      <w:r w:rsidR="00D50439" w:rsidRPr="008173C7">
        <w:rPr>
          <w:rFonts w:cs="Times New Roman"/>
          <w:lang w:val="en-US"/>
        </w:rPr>
        <w:t>assessment</w:t>
      </w:r>
      <w:r w:rsidR="00F358F5" w:rsidRPr="008173C7">
        <w:rPr>
          <w:rFonts w:cs="Times New Roman"/>
          <w:lang w:val="en-US"/>
        </w:rPr>
        <w:t xml:space="preserve"> that produces consistent results</w:t>
      </w:r>
      <w:r w:rsidRPr="008173C7">
        <w:rPr>
          <w:rFonts w:cs="Times New Roman"/>
          <w:lang w:val="en-US"/>
        </w:rPr>
        <w:t xml:space="preserve">, but does not claim to be </w:t>
      </w:r>
      <w:r w:rsidR="00F358F5" w:rsidRPr="008173C7">
        <w:rPr>
          <w:rFonts w:cs="Times New Roman"/>
          <w:lang w:val="en-US"/>
        </w:rPr>
        <w:t xml:space="preserve">universal. </w:t>
      </w:r>
      <w:r w:rsidR="006D76E5" w:rsidRPr="008173C7">
        <w:rPr>
          <w:rFonts w:cs="Times New Roman"/>
          <w:lang w:val="en-US"/>
        </w:rPr>
        <w:t>The assessment is consistent since application of the tool by different trained assessors yield</w:t>
      </w:r>
      <w:r w:rsidRPr="008173C7">
        <w:rPr>
          <w:rFonts w:cs="Times New Roman"/>
          <w:lang w:val="en-US"/>
        </w:rPr>
        <w:t>ed</w:t>
      </w:r>
      <w:r w:rsidR="006D76E5" w:rsidRPr="008173C7">
        <w:rPr>
          <w:rFonts w:cs="Times New Roman"/>
          <w:lang w:val="en-US"/>
        </w:rPr>
        <w:t xml:space="preserve"> the same results. </w:t>
      </w:r>
      <w:r w:rsidRPr="008173C7">
        <w:rPr>
          <w:rFonts w:cs="Times New Roman"/>
          <w:lang w:val="en-US"/>
        </w:rPr>
        <w:t xml:space="preserve">However, we would </w:t>
      </w:r>
      <w:r w:rsidR="004972A6" w:rsidRPr="008173C7">
        <w:rPr>
          <w:rFonts w:cs="Times New Roman"/>
          <w:lang w:val="en-US"/>
        </w:rPr>
        <w:t>not claim that</w:t>
      </w:r>
      <w:r w:rsidR="006D76E5" w:rsidRPr="008173C7">
        <w:rPr>
          <w:rFonts w:cs="Times New Roman"/>
          <w:lang w:val="en-US"/>
        </w:rPr>
        <w:t xml:space="preserve"> </w:t>
      </w:r>
      <w:r w:rsidR="004972A6" w:rsidRPr="008173C7">
        <w:rPr>
          <w:rFonts w:cs="Times New Roman"/>
          <w:lang w:val="en-US"/>
        </w:rPr>
        <w:t xml:space="preserve">it </w:t>
      </w:r>
      <w:r w:rsidR="006D76E5" w:rsidRPr="008173C7">
        <w:rPr>
          <w:rFonts w:cs="Times New Roman"/>
          <w:lang w:val="en-US"/>
        </w:rPr>
        <w:t>produce</w:t>
      </w:r>
      <w:r w:rsidRPr="008173C7">
        <w:rPr>
          <w:rFonts w:cs="Times New Roman"/>
          <w:lang w:val="en-US"/>
        </w:rPr>
        <w:t>d</w:t>
      </w:r>
      <w:r w:rsidR="006D76E5" w:rsidRPr="008173C7">
        <w:rPr>
          <w:rFonts w:cs="Times New Roman"/>
          <w:lang w:val="en-US"/>
        </w:rPr>
        <w:t xml:space="preserve"> an objective </w:t>
      </w:r>
      <w:r w:rsidR="00D50439" w:rsidRPr="008173C7">
        <w:rPr>
          <w:rFonts w:cs="Times New Roman"/>
          <w:lang w:val="en-US"/>
        </w:rPr>
        <w:t>assessment</w:t>
      </w:r>
      <w:r w:rsidR="006D76E5" w:rsidRPr="008173C7">
        <w:rPr>
          <w:rFonts w:cs="Times New Roman"/>
          <w:lang w:val="en-US"/>
        </w:rPr>
        <w:t xml:space="preserve"> considered as a </w:t>
      </w:r>
      <w:r w:rsidRPr="008173C7">
        <w:rPr>
          <w:rFonts w:cs="Times New Roman"/>
          <w:i/>
          <w:lang w:val="en-US"/>
        </w:rPr>
        <w:t>v</w:t>
      </w:r>
      <w:r w:rsidR="006D76E5" w:rsidRPr="008173C7">
        <w:rPr>
          <w:rFonts w:cs="Times New Roman"/>
          <w:i/>
          <w:lang w:val="en-US"/>
        </w:rPr>
        <w:t>iew from nowhere</w:t>
      </w:r>
      <w:r w:rsidR="000C7DD8" w:rsidRPr="008173C7">
        <w:rPr>
          <w:rFonts w:cs="Times New Roman"/>
          <w:lang w:val="en-US"/>
        </w:rPr>
        <w:t xml:space="preserve"> (Nagel)</w:t>
      </w:r>
      <w:r w:rsidR="006D76E5" w:rsidRPr="008173C7">
        <w:rPr>
          <w:rFonts w:cs="Times New Roman"/>
          <w:lang w:val="en-US"/>
        </w:rPr>
        <w:t>.</w:t>
      </w:r>
      <w:r w:rsidR="000C7DD8" w:rsidRPr="008173C7">
        <w:rPr>
          <w:rFonts w:cs="Times New Roman"/>
          <w:lang w:val="en-US"/>
        </w:rPr>
        <w:t xml:space="preserve"> Another rating scale </w:t>
      </w:r>
      <w:r w:rsidR="005B49C6" w:rsidRPr="008173C7">
        <w:rPr>
          <w:rFonts w:cs="Times New Roman"/>
          <w:lang w:val="en-US"/>
        </w:rPr>
        <w:t xml:space="preserve">(based on another theory of impact, other weighing criteria, etc.) </w:t>
      </w:r>
      <w:r w:rsidR="000C7DD8" w:rsidRPr="008173C7">
        <w:rPr>
          <w:rFonts w:cs="Times New Roman"/>
          <w:lang w:val="en-US"/>
        </w:rPr>
        <w:t xml:space="preserve">would probably </w:t>
      </w:r>
      <w:r w:rsidR="005B49C6" w:rsidRPr="008173C7">
        <w:rPr>
          <w:rFonts w:cs="Times New Roman"/>
          <w:lang w:val="en-US"/>
        </w:rPr>
        <w:t xml:space="preserve">yield </w:t>
      </w:r>
      <w:r w:rsidR="000C7DD8" w:rsidRPr="008173C7">
        <w:rPr>
          <w:rFonts w:cs="Times New Roman"/>
          <w:lang w:val="en-US"/>
        </w:rPr>
        <w:t>other scores</w:t>
      </w:r>
      <w:r w:rsidRPr="008173C7">
        <w:rPr>
          <w:rFonts w:cs="Times New Roman"/>
          <w:lang w:val="en-US"/>
        </w:rPr>
        <w:t>,</w:t>
      </w:r>
      <w:r w:rsidR="000C7DD8" w:rsidRPr="008173C7">
        <w:rPr>
          <w:rFonts w:cs="Times New Roman"/>
          <w:lang w:val="en-US"/>
        </w:rPr>
        <w:t xml:space="preserve"> and it is likely that the </w:t>
      </w:r>
      <w:r w:rsidRPr="008173C7">
        <w:rPr>
          <w:rFonts w:cs="Times New Roman"/>
          <w:lang w:val="en-US"/>
        </w:rPr>
        <w:t xml:space="preserve">proposed </w:t>
      </w:r>
      <w:r w:rsidR="000C7DD8" w:rsidRPr="008173C7">
        <w:rPr>
          <w:rFonts w:cs="Times New Roman"/>
          <w:lang w:val="en-US"/>
        </w:rPr>
        <w:t>rating scale will</w:t>
      </w:r>
      <w:r w:rsidRPr="008173C7">
        <w:rPr>
          <w:rFonts w:cs="Times New Roman"/>
          <w:lang w:val="en-US"/>
        </w:rPr>
        <w:t xml:space="preserve"> – similar to other systems of assessment -</w:t>
      </w:r>
      <w:r w:rsidR="000C7DD8" w:rsidRPr="008173C7">
        <w:rPr>
          <w:rFonts w:cs="Times New Roman"/>
          <w:lang w:val="en-US"/>
        </w:rPr>
        <w:t xml:space="preserve"> evolve over time.</w:t>
      </w:r>
      <w:r w:rsidR="008A3B6E" w:rsidRPr="008173C7">
        <w:rPr>
          <w:rFonts w:cs="Times New Roman"/>
          <w:lang w:val="en-US"/>
        </w:rPr>
        <w:t xml:space="preserve"> </w:t>
      </w:r>
      <w:r w:rsidR="004972A6" w:rsidRPr="008173C7">
        <w:rPr>
          <w:rFonts w:cs="Times New Roman"/>
          <w:lang w:val="en-US"/>
        </w:rPr>
        <w:t xml:space="preserve">Instead of providing a very precise measure </w:t>
      </w:r>
      <w:r w:rsidRPr="008173C7">
        <w:rPr>
          <w:rFonts w:cs="Times New Roman"/>
          <w:lang w:val="en-US"/>
        </w:rPr>
        <w:t xml:space="preserve">whose achievement </w:t>
      </w:r>
      <w:r w:rsidR="004972A6" w:rsidRPr="008173C7">
        <w:rPr>
          <w:rFonts w:cs="Times New Roman"/>
          <w:lang w:val="en-US"/>
        </w:rPr>
        <w:t xml:space="preserve">would be very costly, we chose a simple ordinal measure. This choice reflects both the modest objectives of the </w:t>
      </w:r>
      <w:r w:rsidR="00361A7B" w:rsidRPr="008173C7">
        <w:rPr>
          <w:rFonts w:cs="Times New Roman"/>
          <w:lang w:val="en-US"/>
        </w:rPr>
        <w:t>scale</w:t>
      </w:r>
      <w:r w:rsidRPr="008173C7">
        <w:rPr>
          <w:rFonts w:cs="Times New Roman"/>
          <w:lang w:val="en-US"/>
        </w:rPr>
        <w:t>,</w:t>
      </w:r>
      <w:r w:rsidR="004972A6" w:rsidRPr="008173C7">
        <w:rPr>
          <w:rFonts w:cs="Times New Roman"/>
          <w:lang w:val="en-US"/>
        </w:rPr>
        <w:t xml:space="preserve"> and the pragmatic </w:t>
      </w:r>
      <w:r w:rsidR="00807301" w:rsidRPr="008173C7">
        <w:rPr>
          <w:rFonts w:cs="Times New Roman"/>
          <w:lang w:val="en-US"/>
        </w:rPr>
        <w:t>constraints o</w:t>
      </w:r>
      <w:r w:rsidRPr="008173C7">
        <w:rPr>
          <w:rFonts w:cs="Times New Roman"/>
          <w:lang w:val="en-US"/>
        </w:rPr>
        <w:t>n</w:t>
      </w:r>
      <w:r w:rsidR="00807301" w:rsidRPr="008173C7">
        <w:rPr>
          <w:rFonts w:cs="Times New Roman"/>
          <w:lang w:val="en-US"/>
        </w:rPr>
        <w:t xml:space="preserve"> </w:t>
      </w:r>
      <w:r w:rsidRPr="008173C7">
        <w:rPr>
          <w:rFonts w:cs="Times New Roman"/>
          <w:lang w:val="en-US"/>
        </w:rPr>
        <w:t xml:space="preserve">its </w:t>
      </w:r>
      <w:r w:rsidR="00807301" w:rsidRPr="008173C7">
        <w:rPr>
          <w:rFonts w:cs="Times New Roman"/>
          <w:lang w:val="en-US"/>
        </w:rPr>
        <w:t>use.</w:t>
      </w:r>
    </w:p>
    <w:p w14:paraId="3D45C402" w14:textId="5C8E6548" w:rsidR="008A3B6E" w:rsidRPr="008173C7" w:rsidRDefault="008A3B6E" w:rsidP="000401BB">
      <w:pPr>
        <w:spacing w:line="480" w:lineRule="auto"/>
        <w:rPr>
          <w:rFonts w:cs="Times New Roman"/>
          <w:lang w:val="en-US"/>
        </w:rPr>
      </w:pPr>
      <w:r w:rsidRPr="008173C7">
        <w:rPr>
          <w:rFonts w:cs="Times New Roman"/>
          <w:lang w:val="en-US"/>
        </w:rPr>
        <w:t xml:space="preserve">The process that was used to design this rating scale prompted the experts to reveal their evaluation rationale and to explain the founding values of their judgments. The initial individual remote scoring revealed how each expert interpreted the analytical framework and the local descriptors of impact collected for each case. The argumentation each expert </w:t>
      </w:r>
      <w:r w:rsidR="0054473E" w:rsidRPr="008173C7">
        <w:rPr>
          <w:rFonts w:cs="Times New Roman"/>
          <w:lang w:val="en-US"/>
        </w:rPr>
        <w:t xml:space="preserve">offered </w:t>
      </w:r>
      <w:r w:rsidRPr="008173C7">
        <w:rPr>
          <w:rFonts w:cs="Times New Roman"/>
          <w:lang w:val="en-US"/>
        </w:rPr>
        <w:t>to support her</w:t>
      </w:r>
      <w:r w:rsidR="0054473E" w:rsidRPr="008173C7">
        <w:rPr>
          <w:rFonts w:cs="Times New Roman"/>
          <w:lang w:val="en-US"/>
        </w:rPr>
        <w:t>/his</w:t>
      </w:r>
      <w:r w:rsidRPr="008173C7">
        <w:rPr>
          <w:rFonts w:cs="Times New Roman"/>
          <w:lang w:val="en-US"/>
        </w:rPr>
        <w:t xml:space="preserve"> impact scores</w:t>
      </w:r>
      <w:r w:rsidR="0054473E" w:rsidRPr="008173C7">
        <w:rPr>
          <w:rFonts w:cs="Times New Roman"/>
          <w:lang w:val="en-US"/>
        </w:rPr>
        <w:t>,</w:t>
      </w:r>
      <w:r w:rsidRPr="008173C7">
        <w:rPr>
          <w:rFonts w:cs="Times New Roman"/>
          <w:lang w:val="en-US"/>
        </w:rPr>
        <w:t xml:space="preserve"> and the debate that </w:t>
      </w:r>
      <w:r w:rsidR="0054473E" w:rsidRPr="008173C7">
        <w:rPr>
          <w:rFonts w:cs="Times New Roman"/>
          <w:lang w:val="en-US"/>
        </w:rPr>
        <w:t>ensued,</w:t>
      </w:r>
      <w:r w:rsidRPr="008173C7">
        <w:rPr>
          <w:rFonts w:cs="Times New Roman"/>
          <w:lang w:val="en-US"/>
        </w:rPr>
        <w:t xml:space="preserve"> contributed to a clear explanation of the rationale for the choice of items to be taken into account. </w:t>
      </w:r>
    </w:p>
    <w:p w14:paraId="387D51A6" w14:textId="3FF8D69F" w:rsidR="008A3B6E" w:rsidRPr="008173C7" w:rsidRDefault="008A3B6E" w:rsidP="000401BB">
      <w:pPr>
        <w:spacing w:line="480" w:lineRule="auto"/>
        <w:rPr>
          <w:rFonts w:cs="Times New Roman"/>
          <w:lang w:val="en-US"/>
        </w:rPr>
      </w:pPr>
      <w:r w:rsidRPr="008173C7">
        <w:rPr>
          <w:rFonts w:cs="Times New Roman"/>
          <w:lang w:val="en-US"/>
        </w:rPr>
        <w:t xml:space="preserve">The divergences in the expert opinions were particularly meaningful in terms of </w:t>
      </w:r>
      <w:r w:rsidR="0054473E" w:rsidRPr="008173C7">
        <w:rPr>
          <w:rFonts w:cs="Times New Roman"/>
          <w:lang w:val="en-US"/>
        </w:rPr>
        <w:t xml:space="preserve">the </w:t>
      </w:r>
      <w:r w:rsidRPr="008173C7">
        <w:rPr>
          <w:rFonts w:cs="Times New Roman"/>
          <w:lang w:val="en-US"/>
        </w:rPr>
        <w:t xml:space="preserve">values conveyed. </w:t>
      </w:r>
      <w:r w:rsidR="00570EB1" w:rsidRPr="008173C7">
        <w:rPr>
          <w:rFonts w:cs="Times New Roman"/>
          <w:lang w:val="en-US"/>
        </w:rPr>
        <w:t>A</w:t>
      </w:r>
      <w:r w:rsidRPr="008173C7">
        <w:rPr>
          <w:rFonts w:cs="Times New Roman"/>
          <w:lang w:val="en-US"/>
        </w:rPr>
        <w:t xml:space="preserve">ll the experts </w:t>
      </w:r>
      <w:r w:rsidR="0054473E" w:rsidRPr="008173C7">
        <w:rPr>
          <w:rFonts w:cs="Times New Roman"/>
          <w:lang w:val="en-US"/>
        </w:rPr>
        <w:t xml:space="preserve">showed </w:t>
      </w:r>
      <w:r w:rsidRPr="008173C7">
        <w:rPr>
          <w:rFonts w:cs="Times New Roman"/>
          <w:lang w:val="en-US"/>
        </w:rPr>
        <w:t>a real interest in the relative value of the research results to society; diverg</w:t>
      </w:r>
      <w:r w:rsidR="0054473E" w:rsidRPr="008173C7">
        <w:rPr>
          <w:rFonts w:cs="Times New Roman"/>
          <w:lang w:val="en-US"/>
        </w:rPr>
        <w:t>ing</w:t>
      </w:r>
      <w:r w:rsidRPr="008173C7">
        <w:rPr>
          <w:rFonts w:cs="Times New Roman"/>
          <w:lang w:val="en-US"/>
        </w:rPr>
        <w:t xml:space="preserve"> views reflected the experts’ personal values. For instance, there was lively debate among the experts about the importance of the policy domain considered</w:t>
      </w:r>
      <w:r w:rsidR="0054473E" w:rsidRPr="008173C7">
        <w:rPr>
          <w:rFonts w:cs="Times New Roman"/>
          <w:lang w:val="en-US"/>
        </w:rPr>
        <w:t>,</w:t>
      </w:r>
      <w:r w:rsidRPr="008173C7">
        <w:rPr>
          <w:rFonts w:cs="Times New Roman"/>
          <w:lang w:val="en-US"/>
        </w:rPr>
        <w:t xml:space="preserve"> and the significance of the research contribution to that policy. The discussion among </w:t>
      </w:r>
      <w:r w:rsidR="0054473E" w:rsidRPr="008173C7">
        <w:rPr>
          <w:rFonts w:cs="Times New Roman"/>
          <w:lang w:val="en-US"/>
        </w:rPr>
        <w:t xml:space="preserve">the </w:t>
      </w:r>
      <w:r w:rsidRPr="008173C7">
        <w:rPr>
          <w:rFonts w:cs="Times New Roman"/>
          <w:lang w:val="en-US"/>
        </w:rPr>
        <w:t xml:space="preserve">panelists helped to reduce rating inconsistency resulting from misinformation or misinterpretation of facts </w:t>
      </w:r>
      <w:r w:rsidR="00DA7E42" w:rsidRPr="00DA7E42">
        <w:rPr>
          <w:rFonts w:cs="Times New Roman"/>
          <w:lang w:val="en-US"/>
        </w:rPr>
        <w:t>(Wooding et al. 2014)</w:t>
      </w:r>
      <w:r w:rsidRPr="008173C7">
        <w:rPr>
          <w:rFonts w:cs="Times New Roman"/>
          <w:lang w:val="en-US"/>
        </w:rPr>
        <w:t xml:space="preserve">. </w:t>
      </w:r>
    </w:p>
    <w:p w14:paraId="3AB22DBD" w14:textId="1DD87BE3" w:rsidR="008A3B6E" w:rsidRPr="008173C7" w:rsidRDefault="008A3B6E" w:rsidP="000401BB">
      <w:pPr>
        <w:spacing w:line="480" w:lineRule="auto"/>
        <w:rPr>
          <w:rFonts w:cs="Times New Roman"/>
          <w:lang w:val="en-US"/>
        </w:rPr>
      </w:pPr>
      <w:r w:rsidRPr="008173C7">
        <w:rPr>
          <w:rFonts w:cs="Times New Roman"/>
          <w:lang w:val="en-US"/>
        </w:rPr>
        <w:t xml:space="preserve">The complex value system embedded in the evaluation process, and grounded </w:t>
      </w:r>
      <w:r w:rsidR="0054473E" w:rsidRPr="008173C7">
        <w:rPr>
          <w:rFonts w:cs="Times New Roman"/>
          <w:lang w:val="en-US"/>
        </w:rPr>
        <w:t>i</w:t>
      </w:r>
      <w:r w:rsidRPr="008173C7">
        <w:rPr>
          <w:rFonts w:cs="Times New Roman"/>
          <w:lang w:val="en-US"/>
        </w:rPr>
        <w:t xml:space="preserve">n a combination of dependent judging criteria, is outlined in our rating scale. The experts valued the following aspects: </w:t>
      </w:r>
    </w:p>
    <w:p w14:paraId="60917CBB" w14:textId="151566F2" w:rsidR="008A3B6E" w:rsidRPr="008173C7" w:rsidRDefault="008A3B6E" w:rsidP="000401BB">
      <w:pPr>
        <w:numPr>
          <w:ilvl w:val="0"/>
          <w:numId w:val="6"/>
        </w:numPr>
        <w:spacing w:after="160" w:line="480" w:lineRule="auto"/>
        <w:jc w:val="left"/>
        <w:rPr>
          <w:rFonts w:cs="Times New Roman"/>
          <w:lang w:val="en-US"/>
        </w:rPr>
      </w:pPr>
      <w:r w:rsidRPr="008173C7">
        <w:rPr>
          <w:rFonts w:cs="Times New Roman"/>
          <w:lang w:val="en-US"/>
        </w:rPr>
        <w:t>Integrity (accuracy, completeness, topicality) and correct sourcing/affiliation of research knowledge</w:t>
      </w:r>
      <w:r w:rsidR="0054473E" w:rsidRPr="008173C7">
        <w:rPr>
          <w:rFonts w:cs="Times New Roman"/>
          <w:lang w:val="en-US"/>
        </w:rPr>
        <w:t xml:space="preserve"> combined</w:t>
      </w:r>
      <w:r w:rsidRPr="008173C7">
        <w:rPr>
          <w:rFonts w:cs="Times New Roman"/>
          <w:lang w:val="en-US"/>
        </w:rPr>
        <w:t xml:space="preserve"> when mediated and conveyed over time in public policies and debates; </w:t>
      </w:r>
    </w:p>
    <w:p w14:paraId="0572AEEC" w14:textId="77777777" w:rsidR="008A3B6E" w:rsidRPr="008173C7" w:rsidRDefault="008A3B6E" w:rsidP="000401BB">
      <w:pPr>
        <w:numPr>
          <w:ilvl w:val="0"/>
          <w:numId w:val="6"/>
        </w:numPr>
        <w:spacing w:after="160" w:line="480" w:lineRule="auto"/>
        <w:jc w:val="left"/>
        <w:rPr>
          <w:rFonts w:cs="Times New Roman"/>
          <w:lang w:val="en-US"/>
        </w:rPr>
      </w:pPr>
      <w:r w:rsidRPr="008173C7">
        <w:rPr>
          <w:rFonts w:cs="Times New Roman"/>
          <w:lang w:val="en-US"/>
        </w:rPr>
        <w:t xml:space="preserve">Support for the complete policy cycle; </w:t>
      </w:r>
    </w:p>
    <w:p w14:paraId="38CA4BB2" w14:textId="61DB3052" w:rsidR="008A3B6E" w:rsidRPr="008173C7" w:rsidRDefault="008A3B6E" w:rsidP="000401BB">
      <w:pPr>
        <w:numPr>
          <w:ilvl w:val="0"/>
          <w:numId w:val="6"/>
        </w:numPr>
        <w:spacing w:after="160" w:line="480" w:lineRule="auto"/>
        <w:jc w:val="left"/>
        <w:rPr>
          <w:rFonts w:cs="Times New Roman"/>
          <w:lang w:val="en-US"/>
        </w:rPr>
      </w:pPr>
      <w:r w:rsidRPr="008173C7">
        <w:rPr>
          <w:rFonts w:cs="Times New Roman"/>
          <w:lang w:val="en-US"/>
        </w:rPr>
        <w:t xml:space="preserve">Political relevance of the research contribution compared to the level of policy decision. A key success factor is the credibility and strength of the research message, and the diversity of </w:t>
      </w:r>
      <w:r w:rsidR="0054473E" w:rsidRPr="008173C7">
        <w:rPr>
          <w:rFonts w:cs="Times New Roman"/>
          <w:lang w:val="en-US"/>
        </w:rPr>
        <w:t xml:space="preserve">the </w:t>
      </w:r>
      <w:r w:rsidRPr="008173C7">
        <w:rPr>
          <w:rFonts w:cs="Times New Roman"/>
          <w:lang w:val="en-US"/>
        </w:rPr>
        <w:t>stakeholder</w:t>
      </w:r>
      <w:r w:rsidR="0054473E" w:rsidRPr="008173C7">
        <w:rPr>
          <w:rFonts w:cs="Times New Roman"/>
          <w:lang w:val="en-US"/>
        </w:rPr>
        <w:t xml:space="preserve"> audience</w:t>
      </w:r>
      <w:r w:rsidRPr="008173C7">
        <w:rPr>
          <w:rFonts w:cs="Times New Roman"/>
          <w:lang w:val="en-US"/>
        </w:rPr>
        <w:t xml:space="preserve"> targeted (general audience, sectoral policy-makers, political arenas, etc</w:t>
      </w:r>
      <w:r w:rsidR="001D1915" w:rsidRPr="008173C7">
        <w:rPr>
          <w:rFonts w:cs="Times New Roman"/>
          <w:lang w:val="en-US"/>
        </w:rPr>
        <w:t>.</w:t>
      </w:r>
      <w:r w:rsidRPr="008173C7">
        <w:rPr>
          <w:rFonts w:cs="Times New Roman"/>
          <w:lang w:val="en-US"/>
        </w:rPr>
        <w:t>).</w:t>
      </w:r>
    </w:p>
    <w:p w14:paraId="4792F184" w14:textId="37350B81" w:rsidR="008A3B6E" w:rsidRPr="008173C7" w:rsidRDefault="00C2350A" w:rsidP="000401BB">
      <w:pPr>
        <w:spacing w:line="480" w:lineRule="auto"/>
        <w:rPr>
          <w:rFonts w:cs="Times New Roman"/>
          <w:lang w:val="en-US"/>
        </w:rPr>
      </w:pPr>
      <w:r w:rsidRPr="008173C7">
        <w:rPr>
          <w:rFonts w:cs="Times New Roman"/>
          <w:lang w:val="en-US"/>
        </w:rPr>
        <w:t xml:space="preserve">Such a rating scale has several advantages: it saves on cost since it avoids systematic expert consultation; it reduces delays by providing a proxy for impact to allow additional cases to be assessed without </w:t>
      </w:r>
      <w:r w:rsidR="0054473E" w:rsidRPr="008173C7">
        <w:rPr>
          <w:rFonts w:cs="Times New Roman"/>
          <w:lang w:val="en-US"/>
        </w:rPr>
        <w:t xml:space="preserve">the further involvement of </w:t>
      </w:r>
      <w:r w:rsidRPr="008173C7">
        <w:rPr>
          <w:rFonts w:cs="Times New Roman"/>
          <w:lang w:val="en-US"/>
        </w:rPr>
        <w:t xml:space="preserve">an expert panel; it increases robustness since it avoids judgment bias related to different panel composition. </w:t>
      </w:r>
      <w:r w:rsidR="008A3B6E" w:rsidRPr="008173C7">
        <w:rPr>
          <w:rFonts w:cs="Times New Roman"/>
          <w:lang w:val="en-US"/>
        </w:rPr>
        <w:t xml:space="preserve">The rating scale is </w:t>
      </w:r>
      <w:r w:rsidR="0054473E" w:rsidRPr="008173C7">
        <w:rPr>
          <w:rFonts w:cs="Times New Roman"/>
          <w:lang w:val="en-US"/>
        </w:rPr>
        <w:t xml:space="preserve">intended </w:t>
      </w:r>
      <w:r w:rsidR="008A3B6E" w:rsidRPr="008173C7">
        <w:rPr>
          <w:rFonts w:cs="Times New Roman"/>
          <w:lang w:val="en-US"/>
        </w:rPr>
        <w:t xml:space="preserve">to be improved over time. </w:t>
      </w:r>
      <w:r w:rsidR="0054473E" w:rsidRPr="008173C7">
        <w:rPr>
          <w:rFonts w:cs="Times New Roman"/>
          <w:lang w:val="en-US"/>
        </w:rPr>
        <w:t>R</w:t>
      </w:r>
      <w:r w:rsidR="008A3B6E" w:rsidRPr="008173C7">
        <w:rPr>
          <w:rFonts w:cs="Times New Roman"/>
          <w:lang w:val="en-US"/>
        </w:rPr>
        <w:t>egular assessment of new cases, a</w:t>
      </w:r>
      <w:r w:rsidR="0054473E" w:rsidRPr="008173C7">
        <w:rPr>
          <w:rFonts w:cs="Times New Roman"/>
          <w:lang w:val="en-US"/>
        </w:rPr>
        <w:t xml:space="preserve">nd </w:t>
      </w:r>
      <w:r w:rsidR="008A3B6E" w:rsidRPr="008173C7">
        <w:rPr>
          <w:rFonts w:cs="Times New Roman"/>
          <w:lang w:val="en-US"/>
        </w:rPr>
        <w:t>changes in global political concerns will pr</w:t>
      </w:r>
      <w:r w:rsidR="0054473E" w:rsidRPr="008173C7">
        <w:rPr>
          <w:rFonts w:cs="Times New Roman"/>
          <w:lang w:val="en-US"/>
        </w:rPr>
        <w:t>esent</w:t>
      </w:r>
      <w:r w:rsidR="008A3B6E" w:rsidRPr="008173C7">
        <w:rPr>
          <w:rFonts w:cs="Times New Roman"/>
          <w:lang w:val="en-US"/>
        </w:rPr>
        <w:t xml:space="preserve"> opportunities to revise and enrich the rating scale. Hence, </w:t>
      </w:r>
      <w:r w:rsidR="0054473E" w:rsidRPr="008173C7">
        <w:rPr>
          <w:rFonts w:cs="Times New Roman"/>
          <w:lang w:val="en-US"/>
        </w:rPr>
        <w:t xml:space="preserve">we envisage </w:t>
      </w:r>
      <w:r w:rsidR="008A3B6E" w:rsidRPr="008173C7">
        <w:rPr>
          <w:rFonts w:cs="Times New Roman"/>
          <w:lang w:val="en-US"/>
        </w:rPr>
        <w:t xml:space="preserve">further consultation of experts </w:t>
      </w:r>
      <w:r w:rsidRPr="008173C7">
        <w:rPr>
          <w:rFonts w:cs="Times New Roman"/>
          <w:lang w:val="en-US"/>
        </w:rPr>
        <w:t>to review the rat</w:t>
      </w:r>
      <w:r w:rsidR="00712618" w:rsidRPr="008173C7">
        <w:rPr>
          <w:rFonts w:cs="Times New Roman"/>
          <w:lang w:val="en-US"/>
        </w:rPr>
        <w:t>ing scale</w:t>
      </w:r>
      <w:r w:rsidRPr="008173C7">
        <w:rPr>
          <w:rFonts w:cs="Times New Roman"/>
          <w:lang w:val="en-US"/>
        </w:rPr>
        <w:t xml:space="preserve"> and suggest improvement</w:t>
      </w:r>
      <w:r w:rsidR="0054473E" w:rsidRPr="008173C7">
        <w:rPr>
          <w:rFonts w:cs="Times New Roman"/>
          <w:lang w:val="en-US"/>
        </w:rPr>
        <w:t>s</w:t>
      </w:r>
      <w:r w:rsidR="00712618" w:rsidRPr="008173C7">
        <w:rPr>
          <w:rFonts w:cs="Times New Roman"/>
          <w:lang w:val="en-US"/>
        </w:rPr>
        <w:t>.</w:t>
      </w:r>
    </w:p>
    <w:p w14:paraId="43C6D0D1" w14:textId="0A8D6FA1" w:rsidR="008A3B6E" w:rsidRPr="008173C7" w:rsidRDefault="00712618" w:rsidP="000401BB">
      <w:pPr>
        <w:spacing w:line="480" w:lineRule="auto"/>
        <w:ind w:firstLine="709"/>
        <w:rPr>
          <w:rFonts w:cs="Times New Roman"/>
          <w:b/>
          <w:lang w:val="en-US"/>
        </w:rPr>
      </w:pPr>
      <w:r w:rsidRPr="008173C7">
        <w:rPr>
          <w:rFonts w:cs="Times New Roman"/>
          <w:b/>
          <w:lang w:val="en-US"/>
        </w:rPr>
        <w:t>4.2. Counting as one element of impact assessment as a learning tool</w:t>
      </w:r>
    </w:p>
    <w:p w14:paraId="0CDDE1FA" w14:textId="4B894165" w:rsidR="00712618" w:rsidRPr="008173C7" w:rsidRDefault="00807301" w:rsidP="000401BB">
      <w:pPr>
        <w:spacing w:line="480" w:lineRule="auto"/>
        <w:rPr>
          <w:rFonts w:cs="Times New Roman"/>
          <w:lang w:val="en-US"/>
        </w:rPr>
      </w:pPr>
      <w:r w:rsidRPr="008173C7">
        <w:rPr>
          <w:rFonts w:cs="Times New Roman"/>
          <w:lang w:val="en-US"/>
        </w:rPr>
        <w:t xml:space="preserve">The rating scale presented in this paper is not </w:t>
      </w:r>
      <w:r w:rsidR="0054473E" w:rsidRPr="008173C7">
        <w:rPr>
          <w:rFonts w:cs="Times New Roman"/>
          <w:lang w:val="en-US"/>
        </w:rPr>
        <w:t xml:space="preserve">meant as </w:t>
      </w:r>
      <w:r w:rsidRPr="008173C7">
        <w:rPr>
          <w:rFonts w:cs="Times New Roman"/>
          <w:lang w:val="en-US"/>
        </w:rPr>
        <w:t xml:space="preserve">a stand-alone </w:t>
      </w:r>
      <w:r w:rsidR="00702FE1" w:rsidRPr="008173C7">
        <w:rPr>
          <w:rFonts w:cs="Times New Roman"/>
          <w:lang w:val="en-US"/>
        </w:rPr>
        <w:t>assessment</w:t>
      </w:r>
      <w:r w:rsidRPr="008173C7">
        <w:rPr>
          <w:rFonts w:cs="Times New Roman"/>
          <w:lang w:val="en-US"/>
        </w:rPr>
        <w:t xml:space="preserve">. It is part of the ASIRPA approach that is </w:t>
      </w:r>
      <w:r w:rsidR="00C2350A" w:rsidRPr="008173C7">
        <w:rPr>
          <w:rFonts w:cs="Times New Roman"/>
          <w:lang w:val="en-US"/>
        </w:rPr>
        <w:t xml:space="preserve">framed </w:t>
      </w:r>
      <w:r w:rsidRPr="008173C7">
        <w:rPr>
          <w:rFonts w:cs="Times New Roman"/>
          <w:lang w:val="en-US"/>
        </w:rPr>
        <w:t xml:space="preserve">by a general philosophy of action. </w:t>
      </w:r>
      <w:r w:rsidR="00DA7E42" w:rsidRPr="00921D03">
        <w:rPr>
          <w:rFonts w:cs="Times New Roman"/>
          <w:lang w:val="en-US"/>
        </w:rPr>
        <w:t xml:space="preserve">Power </w:t>
      </w:r>
      <w:r w:rsidR="0016494E" w:rsidRPr="00921D03">
        <w:rPr>
          <w:rFonts w:cs="Times New Roman"/>
          <w:lang w:val="en-US"/>
        </w:rPr>
        <w:t>(</w:t>
      </w:r>
      <w:r w:rsidR="00DA7E42" w:rsidRPr="00921D03">
        <w:rPr>
          <w:rFonts w:cs="Times New Roman"/>
          <w:lang w:val="en-US"/>
        </w:rPr>
        <w:t>1994)</w:t>
      </w:r>
      <w:r w:rsidRPr="008173C7">
        <w:rPr>
          <w:rFonts w:cs="Times New Roman"/>
          <w:lang w:val="en-US"/>
        </w:rPr>
        <w:t xml:space="preserve"> distinguish</w:t>
      </w:r>
      <w:r w:rsidR="0054473E" w:rsidRPr="008173C7">
        <w:rPr>
          <w:rFonts w:cs="Times New Roman"/>
          <w:lang w:val="en-US"/>
        </w:rPr>
        <w:t>es</w:t>
      </w:r>
      <w:r w:rsidRPr="008173C7">
        <w:rPr>
          <w:rFonts w:cs="Times New Roman"/>
          <w:lang w:val="en-US"/>
        </w:rPr>
        <w:t xml:space="preserve"> two </w:t>
      </w:r>
      <w:r w:rsidR="0054473E" w:rsidRPr="008173C7">
        <w:rPr>
          <w:rFonts w:cs="Times New Roman"/>
          <w:lang w:val="en-US"/>
        </w:rPr>
        <w:t xml:space="preserve">evaluation </w:t>
      </w:r>
      <w:r w:rsidRPr="008173C7">
        <w:rPr>
          <w:rFonts w:cs="Times New Roman"/>
          <w:lang w:val="en-US"/>
        </w:rPr>
        <w:t>ideal-types. The first is audit-like: it is framed by accountability objectives and aims at external control</w:t>
      </w:r>
      <w:r w:rsidR="0054473E" w:rsidRPr="008173C7">
        <w:rPr>
          <w:rFonts w:cs="Times New Roman"/>
          <w:lang w:val="en-US"/>
        </w:rPr>
        <w:t>,</w:t>
      </w:r>
      <w:r w:rsidRPr="008173C7">
        <w:rPr>
          <w:rFonts w:cs="Times New Roman"/>
          <w:lang w:val="en-US"/>
        </w:rPr>
        <w:t xml:space="preserve"> and is </w:t>
      </w:r>
      <w:r w:rsidR="00357C7A" w:rsidRPr="008173C7">
        <w:rPr>
          <w:rFonts w:cs="Times New Roman"/>
          <w:lang w:val="en-US"/>
        </w:rPr>
        <w:t>based on quantitative uni</w:t>
      </w:r>
      <w:r w:rsidRPr="008173C7">
        <w:rPr>
          <w:rFonts w:cs="Times New Roman"/>
          <w:lang w:val="en-US"/>
        </w:rPr>
        <w:t>d</w:t>
      </w:r>
      <w:r w:rsidR="004842A9" w:rsidRPr="008173C7">
        <w:rPr>
          <w:rFonts w:cs="Times New Roman"/>
          <w:lang w:val="en-US"/>
        </w:rPr>
        <w:t>imensional measures. The second</w:t>
      </w:r>
      <w:r w:rsidR="00357C7A" w:rsidRPr="008173C7">
        <w:rPr>
          <w:rFonts w:cs="Times New Roman"/>
          <w:lang w:val="en-US"/>
        </w:rPr>
        <w:t xml:space="preserve"> </w:t>
      </w:r>
      <w:r w:rsidRPr="008173C7">
        <w:rPr>
          <w:rFonts w:cs="Times New Roman"/>
          <w:lang w:val="en-US"/>
        </w:rPr>
        <w:t xml:space="preserve">is assessment-like: it is oriented toward learning objectives, proceeds through self-evaluation and is based on multidimensional qualitative and quantitative </w:t>
      </w:r>
      <w:r w:rsidR="00702FE1" w:rsidRPr="008173C7">
        <w:rPr>
          <w:rFonts w:cs="Times New Roman"/>
          <w:lang w:val="en-US"/>
        </w:rPr>
        <w:t>assessment</w:t>
      </w:r>
      <w:r w:rsidRPr="008173C7">
        <w:rPr>
          <w:rFonts w:cs="Times New Roman"/>
          <w:lang w:val="en-US"/>
        </w:rPr>
        <w:t>. ASIRPA belongs to this second family of evaluation approaches.</w:t>
      </w:r>
      <w:r w:rsidR="00920795" w:rsidRPr="008173C7">
        <w:rPr>
          <w:rFonts w:cs="Times New Roman"/>
          <w:lang w:val="en-US"/>
        </w:rPr>
        <w:t xml:space="preserve"> </w:t>
      </w:r>
      <w:r w:rsidR="00FF54D0" w:rsidRPr="008173C7">
        <w:rPr>
          <w:rFonts w:cs="Times New Roman"/>
          <w:lang w:val="en-US"/>
        </w:rPr>
        <w:t>This philosophy of evaluation is reflected in the ways the rating scale is used, as illustrated by a brief account of our experience.</w:t>
      </w:r>
    </w:p>
    <w:p w14:paraId="21AFA45A" w14:textId="6316AD5C" w:rsidR="00EF5333" w:rsidRPr="008173C7" w:rsidRDefault="00EF5333" w:rsidP="000401BB">
      <w:pPr>
        <w:spacing w:line="480" w:lineRule="auto"/>
        <w:rPr>
          <w:rFonts w:cs="Times New Roman"/>
          <w:lang w:val="en-US"/>
        </w:rPr>
      </w:pPr>
      <w:r w:rsidRPr="008173C7">
        <w:rPr>
          <w:rFonts w:cs="Times New Roman"/>
          <w:lang w:val="en-US"/>
        </w:rPr>
        <w:t>The investigation of ASIRPA cases involve</w:t>
      </w:r>
      <w:r w:rsidR="0054473E" w:rsidRPr="008173C7">
        <w:rPr>
          <w:rFonts w:cs="Times New Roman"/>
          <w:lang w:val="en-US"/>
        </w:rPr>
        <w:t>d</w:t>
      </w:r>
      <w:r w:rsidRPr="008173C7">
        <w:rPr>
          <w:rFonts w:cs="Times New Roman"/>
          <w:lang w:val="en-US"/>
        </w:rPr>
        <w:t xml:space="preserve"> researchers, engineers and technicians from INRA units </w:t>
      </w:r>
      <w:r w:rsidR="00357C7A" w:rsidRPr="008173C7">
        <w:rPr>
          <w:rFonts w:cs="Times New Roman"/>
          <w:lang w:val="en-US"/>
        </w:rPr>
        <w:t>who ha</w:t>
      </w:r>
      <w:r w:rsidR="0054473E" w:rsidRPr="008173C7">
        <w:rPr>
          <w:rFonts w:cs="Times New Roman"/>
          <w:lang w:val="en-US"/>
        </w:rPr>
        <w:t>d</w:t>
      </w:r>
      <w:r w:rsidR="00357C7A" w:rsidRPr="008173C7">
        <w:rPr>
          <w:rFonts w:cs="Times New Roman"/>
          <w:lang w:val="en-US"/>
        </w:rPr>
        <w:t xml:space="preserve"> contributed to </w:t>
      </w:r>
      <w:r w:rsidRPr="008173C7">
        <w:rPr>
          <w:rFonts w:cs="Times New Roman"/>
          <w:lang w:val="en-US"/>
        </w:rPr>
        <w:t xml:space="preserve">the research examined in the case study. </w:t>
      </w:r>
      <w:r w:rsidR="00357C7A" w:rsidRPr="008173C7">
        <w:rPr>
          <w:rFonts w:cs="Times New Roman"/>
          <w:lang w:val="en-US"/>
        </w:rPr>
        <w:t xml:space="preserve">They </w:t>
      </w:r>
      <w:r w:rsidR="0054473E" w:rsidRPr="008173C7">
        <w:rPr>
          <w:rFonts w:cs="Times New Roman"/>
          <w:lang w:val="en-US"/>
        </w:rPr>
        <w:t xml:space="preserve">were responsible for </w:t>
      </w:r>
      <w:r w:rsidRPr="008173C7">
        <w:rPr>
          <w:rFonts w:cs="Times New Roman"/>
          <w:lang w:val="en-US"/>
        </w:rPr>
        <w:t xml:space="preserve">collecting evidence of external impact from relevant stakeholders. </w:t>
      </w:r>
      <w:r w:rsidR="0054473E" w:rsidRPr="008173C7">
        <w:rPr>
          <w:rFonts w:cs="Times New Roman"/>
          <w:lang w:val="en-US"/>
        </w:rPr>
        <w:t xml:space="preserve">Initially, most of the </w:t>
      </w:r>
      <w:r w:rsidRPr="008173C7">
        <w:rPr>
          <w:rFonts w:cs="Times New Roman"/>
          <w:lang w:val="en-US"/>
        </w:rPr>
        <w:t xml:space="preserve">researchers considered political impact only through the direct contribution of knowledge to instrumental policy-making. </w:t>
      </w:r>
      <w:r w:rsidR="0054473E" w:rsidRPr="008173C7">
        <w:rPr>
          <w:rFonts w:cs="Times New Roman"/>
          <w:lang w:val="en-US"/>
        </w:rPr>
        <w:t xml:space="preserve">Application of </w:t>
      </w:r>
      <w:r w:rsidR="00357C7A" w:rsidRPr="008173C7">
        <w:rPr>
          <w:rFonts w:cs="Times New Roman"/>
          <w:lang w:val="en-US"/>
        </w:rPr>
        <w:t xml:space="preserve">the ASIRPA </w:t>
      </w:r>
      <w:r w:rsidRPr="008173C7">
        <w:rPr>
          <w:rFonts w:cs="Times New Roman"/>
          <w:lang w:val="en-US"/>
        </w:rPr>
        <w:t>rating scale to the 41 cases prompted them to consider political impact along the four analytical dimensions described in the methodology. They found that research c</w:t>
      </w:r>
      <w:r w:rsidR="0054473E" w:rsidRPr="008173C7">
        <w:rPr>
          <w:rFonts w:cs="Times New Roman"/>
          <w:lang w:val="en-US"/>
        </w:rPr>
        <w:t>an</w:t>
      </w:r>
      <w:r w:rsidRPr="008173C7">
        <w:rPr>
          <w:rFonts w:cs="Times New Roman"/>
          <w:lang w:val="en-US"/>
        </w:rPr>
        <w:t xml:space="preserve"> promote unexpected political impact. This broadening of the concept and definition of political impact</w:t>
      </w:r>
      <w:r w:rsidR="001B791D" w:rsidRPr="008173C7">
        <w:rPr>
          <w:rFonts w:cs="Times New Roman"/>
          <w:lang w:val="en-US"/>
        </w:rPr>
        <w:t xml:space="preserve"> ascribes a performative property to our research: it </w:t>
      </w:r>
      <w:r w:rsidR="00C2350A" w:rsidRPr="008173C7">
        <w:rPr>
          <w:rFonts w:cs="Times New Roman"/>
          <w:lang w:val="en-US"/>
        </w:rPr>
        <w:t xml:space="preserve">opened new perspectives </w:t>
      </w:r>
      <w:r w:rsidRPr="008173C7">
        <w:rPr>
          <w:rFonts w:cs="Times New Roman"/>
          <w:lang w:val="en-US"/>
        </w:rPr>
        <w:t xml:space="preserve">for the researchers involved in </w:t>
      </w:r>
      <w:r w:rsidR="0054473E" w:rsidRPr="008173C7">
        <w:rPr>
          <w:rFonts w:cs="Times New Roman"/>
          <w:lang w:val="en-US"/>
        </w:rPr>
        <w:t xml:space="preserve">the </w:t>
      </w:r>
      <w:r w:rsidRPr="008173C7">
        <w:rPr>
          <w:rFonts w:cs="Times New Roman"/>
          <w:lang w:val="en-US"/>
        </w:rPr>
        <w:t>self-assessment.</w:t>
      </w:r>
      <w:r w:rsidR="00C2350A" w:rsidRPr="008173C7">
        <w:rPr>
          <w:rFonts w:cs="Times New Roman"/>
          <w:lang w:val="en-US"/>
        </w:rPr>
        <w:t xml:space="preserve"> </w:t>
      </w:r>
      <w:r w:rsidRPr="008173C7">
        <w:rPr>
          <w:rFonts w:cs="Times New Roman"/>
          <w:lang w:val="en-US"/>
        </w:rPr>
        <w:t xml:space="preserve">This </w:t>
      </w:r>
      <w:r w:rsidR="0054473E" w:rsidRPr="008173C7">
        <w:rPr>
          <w:rFonts w:cs="Times New Roman"/>
          <w:lang w:val="en-US"/>
        </w:rPr>
        <w:t xml:space="preserve">can be seen as </w:t>
      </w:r>
      <w:r w:rsidRPr="008173C7">
        <w:rPr>
          <w:rFonts w:cs="Times New Roman"/>
          <w:lang w:val="en-US"/>
        </w:rPr>
        <w:t xml:space="preserve">a first step towards changes </w:t>
      </w:r>
      <w:r w:rsidR="0054473E" w:rsidRPr="008173C7">
        <w:rPr>
          <w:rFonts w:cs="Times New Roman"/>
          <w:lang w:val="en-US"/>
        </w:rPr>
        <w:t xml:space="preserve">to </w:t>
      </w:r>
      <w:r w:rsidR="00C70C3B" w:rsidRPr="008173C7">
        <w:rPr>
          <w:rFonts w:cs="Times New Roman"/>
          <w:lang w:val="en-US"/>
        </w:rPr>
        <w:t xml:space="preserve">research </w:t>
      </w:r>
      <w:r w:rsidRPr="008173C7">
        <w:rPr>
          <w:rFonts w:cs="Times New Roman"/>
          <w:lang w:val="en-US"/>
        </w:rPr>
        <w:t>practices.</w:t>
      </w:r>
    </w:p>
    <w:p w14:paraId="6A40D9AC" w14:textId="3ECE5C58" w:rsidR="00EF5333" w:rsidRPr="008173C7" w:rsidRDefault="00092D88" w:rsidP="000401BB">
      <w:pPr>
        <w:spacing w:line="480" w:lineRule="auto"/>
        <w:rPr>
          <w:rFonts w:cs="Times New Roman"/>
          <w:lang w:val="en-US"/>
        </w:rPr>
      </w:pPr>
      <w:r w:rsidRPr="008173C7">
        <w:rPr>
          <w:rFonts w:cs="Times New Roman"/>
          <w:lang w:val="en-US"/>
        </w:rPr>
        <w:t>A</w:t>
      </w:r>
      <w:r w:rsidR="00EF5333" w:rsidRPr="008173C7">
        <w:rPr>
          <w:rFonts w:cs="Times New Roman"/>
          <w:lang w:val="en-US"/>
        </w:rPr>
        <w:t xml:space="preserve">nalysis of the political impact of the 41 case studies </w:t>
      </w:r>
      <w:r w:rsidR="0054473E" w:rsidRPr="008173C7">
        <w:rPr>
          <w:rFonts w:cs="Times New Roman"/>
          <w:lang w:val="en-US"/>
        </w:rPr>
        <w:t xml:space="preserve">conducted by </w:t>
      </w:r>
      <w:r w:rsidRPr="008173C7">
        <w:rPr>
          <w:rFonts w:cs="Times New Roman"/>
          <w:lang w:val="en-US"/>
        </w:rPr>
        <w:t xml:space="preserve">INRA </w:t>
      </w:r>
      <w:r w:rsidR="00EF5333" w:rsidRPr="008173C7">
        <w:rPr>
          <w:rFonts w:cs="Times New Roman"/>
          <w:lang w:val="en-US"/>
        </w:rPr>
        <w:t xml:space="preserve">provides lessons regarding the impact-generating mechanisms at the level of the institute. “Where, how, and by whom” bridges are built between research knowledge and policies </w:t>
      </w:r>
      <w:r w:rsidR="0016494E">
        <w:rPr>
          <w:rFonts w:cs="Times New Roman"/>
          <w:szCs w:val="24"/>
          <w:lang w:val="en-US"/>
        </w:rPr>
        <w:t>(Almeida and</w:t>
      </w:r>
      <w:r w:rsidR="00DA7E42" w:rsidRPr="00DA7E42">
        <w:rPr>
          <w:rFonts w:cs="Times New Roman"/>
          <w:szCs w:val="24"/>
          <w:lang w:val="en-US"/>
        </w:rPr>
        <w:t xml:space="preserve"> Báscolo 2006)</w:t>
      </w:r>
      <w:r w:rsidR="00EF5333" w:rsidRPr="008173C7">
        <w:rPr>
          <w:rFonts w:cs="Times New Roman"/>
          <w:lang w:val="en-US"/>
        </w:rPr>
        <w:t xml:space="preserve">, and the nature of </w:t>
      </w:r>
      <w:r w:rsidR="0054473E" w:rsidRPr="008173C7">
        <w:rPr>
          <w:rFonts w:cs="Times New Roman"/>
          <w:lang w:val="en-US"/>
        </w:rPr>
        <w:t xml:space="preserve">INRA’s </w:t>
      </w:r>
      <w:r w:rsidR="00EF5333" w:rsidRPr="008173C7">
        <w:rPr>
          <w:rFonts w:cs="Times New Roman"/>
          <w:lang w:val="en-US"/>
        </w:rPr>
        <w:t xml:space="preserve">contribution to public policy are better characterized. INRA’s research contribution to political impact (rankings for the first three dimensions) seems to be larger </w:t>
      </w:r>
      <w:r w:rsidR="0054473E" w:rsidRPr="008173C7">
        <w:rPr>
          <w:rFonts w:cs="Times New Roman"/>
          <w:lang w:val="en-US"/>
        </w:rPr>
        <w:t xml:space="preserve">when </w:t>
      </w:r>
      <w:r w:rsidR="00EF5333" w:rsidRPr="008173C7">
        <w:rPr>
          <w:rFonts w:cs="Times New Roman"/>
          <w:lang w:val="en-US"/>
        </w:rPr>
        <w:t>the scientific investment in the underlying research themes is long-standing, and is acknowledged by the actors. These conditions facilitate dissemination and preservation of the identity of scientific messages. These conditions are associated also with the fact that researchers bring expertise</w:t>
      </w:r>
      <w:r w:rsidR="001D1915" w:rsidRPr="008173C7">
        <w:rPr>
          <w:rFonts w:cs="Times New Roman"/>
          <w:lang w:val="en-US"/>
        </w:rPr>
        <w:t>,</w:t>
      </w:r>
      <w:r w:rsidR="00EF5333" w:rsidRPr="008173C7">
        <w:rPr>
          <w:rFonts w:cs="Times New Roman"/>
          <w:lang w:val="en-US"/>
        </w:rPr>
        <w:t xml:space="preserve"> and participate in and sometimes frame political debate. The critical mechanisms linking research contributions to political impact depend on whether the work was commissioned by the public sector, or is the result of independent research. Generally, the critical points in the translation of scientific knowledge</w:t>
      </w:r>
      <w:r w:rsidR="001D1915" w:rsidRPr="008173C7">
        <w:rPr>
          <w:rFonts w:cs="Times New Roman"/>
          <w:lang w:val="en-US"/>
        </w:rPr>
        <w:t xml:space="preserve"> into policy</w:t>
      </w:r>
      <w:r w:rsidR="00EF5333" w:rsidRPr="008173C7">
        <w:rPr>
          <w:rFonts w:cs="Times New Roman"/>
          <w:lang w:val="en-US"/>
        </w:rPr>
        <w:t xml:space="preserve"> occur when dissemination of research results </w:t>
      </w:r>
      <w:r w:rsidR="00286358" w:rsidRPr="008173C7">
        <w:rPr>
          <w:rFonts w:cs="Times New Roman"/>
          <w:lang w:val="en-US"/>
        </w:rPr>
        <w:t xml:space="preserve">confront </w:t>
      </w:r>
      <w:r w:rsidR="00EF5333" w:rsidRPr="008173C7">
        <w:rPr>
          <w:rFonts w:cs="Times New Roman"/>
          <w:lang w:val="en-US"/>
        </w:rPr>
        <w:t xml:space="preserve">windows of opportunity provided by political agendas, </w:t>
      </w:r>
      <w:r w:rsidR="00286358" w:rsidRPr="008173C7">
        <w:rPr>
          <w:rFonts w:cs="Times New Roman"/>
          <w:lang w:val="en-US"/>
        </w:rPr>
        <w:t xml:space="preserve">relevant </w:t>
      </w:r>
      <w:r w:rsidR="00EF5333" w:rsidRPr="008173C7">
        <w:rPr>
          <w:rFonts w:cs="Times New Roman"/>
          <w:lang w:val="en-US"/>
        </w:rPr>
        <w:t xml:space="preserve">territorial scale of the policy, or strategic distortion of scientific messages by relevant parties. The cases that result from public sector commissions </w:t>
      </w:r>
      <w:r w:rsidR="00286358" w:rsidRPr="008173C7">
        <w:rPr>
          <w:rFonts w:cs="Times New Roman"/>
          <w:lang w:val="en-US"/>
        </w:rPr>
        <w:t xml:space="preserve">can </w:t>
      </w:r>
      <w:r w:rsidR="00EF5333" w:rsidRPr="008173C7">
        <w:rPr>
          <w:rFonts w:cs="Times New Roman"/>
          <w:lang w:val="en-US"/>
        </w:rPr>
        <w:t xml:space="preserve">have a relatively straightforward impact on the policy they are expected to affect. </w:t>
      </w:r>
      <w:r w:rsidR="001D1915" w:rsidRPr="008173C7">
        <w:rPr>
          <w:rFonts w:cs="Times New Roman"/>
          <w:lang w:val="en-US"/>
        </w:rPr>
        <w:t xml:space="preserve">However, </w:t>
      </w:r>
      <w:r w:rsidR="00EF5333" w:rsidRPr="008173C7">
        <w:rPr>
          <w:rFonts w:cs="Times New Roman"/>
          <w:lang w:val="en-US"/>
        </w:rPr>
        <w:t xml:space="preserve">work not commissioned by the public sector but reflective of major societal concerns can </w:t>
      </w:r>
      <w:r w:rsidR="00286358" w:rsidRPr="008173C7">
        <w:rPr>
          <w:rFonts w:cs="Times New Roman"/>
          <w:lang w:val="en-US"/>
        </w:rPr>
        <w:t xml:space="preserve">also </w:t>
      </w:r>
      <w:r w:rsidR="00EF5333" w:rsidRPr="008173C7">
        <w:rPr>
          <w:rFonts w:cs="Times New Roman"/>
          <w:lang w:val="en-US"/>
        </w:rPr>
        <w:t xml:space="preserve">have a direct impact if its results are published in </w:t>
      </w:r>
      <w:r w:rsidR="00C70C3B" w:rsidRPr="008173C7">
        <w:rPr>
          <w:rFonts w:cs="Times New Roman"/>
          <w:lang w:val="en-US"/>
        </w:rPr>
        <w:t>high impact</w:t>
      </w:r>
      <w:r w:rsidR="00EF5333" w:rsidRPr="008173C7">
        <w:rPr>
          <w:rFonts w:cs="Times New Roman"/>
          <w:lang w:val="en-US"/>
        </w:rPr>
        <w:t xml:space="preserve"> scientific journal</w:t>
      </w:r>
      <w:r w:rsidR="00C70C3B" w:rsidRPr="008173C7">
        <w:rPr>
          <w:rFonts w:cs="Times New Roman"/>
          <w:lang w:val="en-US"/>
        </w:rPr>
        <w:t>s</w:t>
      </w:r>
      <w:r w:rsidR="00EF5333" w:rsidRPr="008173C7">
        <w:rPr>
          <w:rFonts w:cs="Times New Roman"/>
          <w:lang w:val="en-US"/>
        </w:rPr>
        <w:t xml:space="preserve"> (e.g. an article published in </w:t>
      </w:r>
      <w:r w:rsidR="00EF5333" w:rsidRPr="008173C7">
        <w:rPr>
          <w:rFonts w:cs="Times New Roman"/>
          <w:i/>
          <w:lang w:val="en-US"/>
        </w:rPr>
        <w:t>Science</w:t>
      </w:r>
      <w:r w:rsidR="00EF5333" w:rsidRPr="008173C7">
        <w:rPr>
          <w:rFonts w:cs="Times New Roman"/>
          <w:lang w:val="en-US"/>
        </w:rPr>
        <w:t xml:space="preserve"> in 2012 on the disorientation of bees)</w:t>
      </w:r>
      <w:r w:rsidR="00286358" w:rsidRPr="008173C7">
        <w:rPr>
          <w:rFonts w:cs="Times New Roman"/>
          <w:lang w:val="en-US"/>
        </w:rPr>
        <w:t xml:space="preserve"> and prompt </w:t>
      </w:r>
      <w:r w:rsidR="00C70C3B" w:rsidRPr="008173C7">
        <w:rPr>
          <w:rFonts w:cs="Times New Roman"/>
          <w:lang w:val="en-US"/>
        </w:rPr>
        <w:t xml:space="preserve">media and </w:t>
      </w:r>
      <w:r w:rsidR="00286358" w:rsidRPr="008173C7">
        <w:rPr>
          <w:rFonts w:cs="Times New Roman"/>
          <w:lang w:val="en-US"/>
        </w:rPr>
        <w:t>political attention</w:t>
      </w:r>
      <w:r w:rsidR="00EF5333" w:rsidRPr="008173C7">
        <w:rPr>
          <w:rFonts w:cs="Times New Roman"/>
          <w:lang w:val="en-US"/>
        </w:rPr>
        <w:t xml:space="preserve">. </w:t>
      </w:r>
    </w:p>
    <w:p w14:paraId="01F7807E" w14:textId="4CDB88B2" w:rsidR="001A7945" w:rsidRPr="008173C7" w:rsidRDefault="00092D88" w:rsidP="000401BB">
      <w:pPr>
        <w:spacing w:line="480" w:lineRule="auto"/>
        <w:rPr>
          <w:rFonts w:cs="Times New Roman"/>
          <w:lang w:val="en-US"/>
        </w:rPr>
      </w:pPr>
      <w:r w:rsidRPr="008173C7">
        <w:rPr>
          <w:rFonts w:cs="Times New Roman"/>
          <w:lang w:val="en-US"/>
        </w:rPr>
        <w:t xml:space="preserve">These are some of the lessons that </w:t>
      </w:r>
      <w:r w:rsidR="001D1915" w:rsidRPr="008173C7">
        <w:rPr>
          <w:rFonts w:cs="Times New Roman"/>
          <w:lang w:val="en-US"/>
        </w:rPr>
        <w:t xml:space="preserve">can be </w:t>
      </w:r>
      <w:r w:rsidRPr="008173C7">
        <w:rPr>
          <w:rFonts w:cs="Times New Roman"/>
          <w:lang w:val="en-US"/>
        </w:rPr>
        <w:t>drawn from the assessment at the different organization</w:t>
      </w:r>
      <w:r w:rsidR="001D1915" w:rsidRPr="008173C7">
        <w:rPr>
          <w:rFonts w:cs="Times New Roman"/>
          <w:lang w:val="en-US"/>
        </w:rPr>
        <w:t>al</w:t>
      </w:r>
      <w:r w:rsidRPr="008173C7">
        <w:rPr>
          <w:rFonts w:cs="Times New Roman"/>
          <w:lang w:val="en-US"/>
        </w:rPr>
        <w:t xml:space="preserve"> levels (Researcher involved, Research Unit, Research division, Research organization) and </w:t>
      </w:r>
      <w:r w:rsidR="001D1915" w:rsidRPr="008173C7">
        <w:rPr>
          <w:rFonts w:cs="Times New Roman"/>
          <w:lang w:val="en-US"/>
        </w:rPr>
        <w:t>which</w:t>
      </w:r>
      <w:r w:rsidRPr="008173C7">
        <w:rPr>
          <w:rFonts w:cs="Times New Roman"/>
          <w:lang w:val="en-US"/>
        </w:rPr>
        <w:t xml:space="preserve"> contribute to learning processes and to </w:t>
      </w:r>
      <w:r w:rsidR="00C70C3B" w:rsidRPr="008173C7">
        <w:rPr>
          <w:rFonts w:cs="Times New Roman"/>
          <w:lang w:val="en-US"/>
        </w:rPr>
        <w:t xml:space="preserve">the promotion of </w:t>
      </w:r>
      <w:r w:rsidRPr="008173C7">
        <w:rPr>
          <w:rFonts w:cs="Times New Roman"/>
          <w:lang w:val="en-US"/>
        </w:rPr>
        <w:t>a</w:t>
      </w:r>
      <w:r w:rsidR="001D1915" w:rsidRPr="008173C7">
        <w:rPr>
          <w:rFonts w:cs="Times New Roman"/>
          <w:lang w:val="en-US"/>
        </w:rPr>
        <w:t>n impact</w:t>
      </w:r>
      <w:r w:rsidRPr="008173C7">
        <w:rPr>
          <w:rFonts w:cs="Times New Roman"/>
          <w:lang w:val="en-US"/>
        </w:rPr>
        <w:t xml:space="preserve"> culture.</w:t>
      </w:r>
    </w:p>
    <w:p w14:paraId="0C535E10" w14:textId="10187A8B" w:rsidR="005B3DCA" w:rsidRPr="008173C7" w:rsidRDefault="005B3DCA" w:rsidP="000401BB">
      <w:pPr>
        <w:autoSpaceDE w:val="0"/>
        <w:autoSpaceDN w:val="0"/>
        <w:adjustRightInd w:val="0"/>
        <w:spacing w:line="480" w:lineRule="auto"/>
        <w:rPr>
          <w:rFonts w:cs="Times New Roman"/>
          <w:lang w:val="en-US"/>
        </w:rPr>
      </w:pPr>
    </w:p>
    <w:p w14:paraId="2805C2E4" w14:textId="1B49210C" w:rsidR="00A17FE9" w:rsidRPr="008173C7" w:rsidRDefault="00B67845" w:rsidP="000401BB">
      <w:pPr>
        <w:pStyle w:val="Titre1"/>
        <w:spacing w:after="200" w:line="480" w:lineRule="auto"/>
        <w:rPr>
          <w:rFonts w:ascii="Times New Roman" w:hAnsi="Times New Roman" w:cs="Times New Roman"/>
          <w:color w:val="auto"/>
          <w:lang w:val="en-US"/>
        </w:rPr>
      </w:pPr>
      <w:r>
        <w:rPr>
          <w:rFonts w:ascii="Times New Roman" w:hAnsi="Times New Roman" w:cs="Times New Roman"/>
          <w:color w:val="auto"/>
          <w:lang w:val="en-US"/>
        </w:rPr>
        <w:t>5</w:t>
      </w:r>
      <w:r w:rsidR="00626914" w:rsidRPr="008173C7">
        <w:rPr>
          <w:rFonts w:ascii="Times New Roman" w:hAnsi="Times New Roman" w:cs="Times New Roman"/>
          <w:color w:val="auto"/>
          <w:lang w:val="en-US"/>
        </w:rPr>
        <w:t xml:space="preserve">. </w:t>
      </w:r>
      <w:r w:rsidR="00C31139" w:rsidRPr="008173C7">
        <w:rPr>
          <w:rFonts w:ascii="Times New Roman" w:hAnsi="Times New Roman" w:cs="Times New Roman"/>
          <w:color w:val="auto"/>
          <w:lang w:val="en-US"/>
        </w:rPr>
        <w:t>References</w:t>
      </w:r>
    </w:p>
    <w:p w14:paraId="57BDDC63" w14:textId="30A4D8D1" w:rsidR="00DA7E42" w:rsidRPr="00DA7E42" w:rsidRDefault="00DA7E42" w:rsidP="00DA7E42">
      <w:pPr>
        <w:pStyle w:val="Bibliographie"/>
        <w:rPr>
          <w:lang w:val="en-US"/>
        </w:rPr>
      </w:pPr>
      <w:r w:rsidRPr="00DA7E42">
        <w:rPr>
          <w:lang w:val="en-US"/>
        </w:rPr>
        <w:t xml:space="preserve">Almeida, C., &amp; Báscolo, E. (2006). Use of research results in policy decision-making, formulation, and implementation: a review of the literature. </w:t>
      </w:r>
      <w:r w:rsidRPr="00DA7E42">
        <w:rPr>
          <w:i/>
          <w:iCs/>
          <w:lang w:val="en-US"/>
        </w:rPr>
        <w:t>Cadernos de Saúde Pública</w:t>
      </w:r>
      <w:r w:rsidRPr="00DA7E42">
        <w:rPr>
          <w:lang w:val="en-US"/>
        </w:rPr>
        <w:t xml:space="preserve">, </w:t>
      </w:r>
      <w:r w:rsidRPr="00DA7E42">
        <w:rPr>
          <w:i/>
          <w:iCs/>
          <w:lang w:val="en-US"/>
        </w:rPr>
        <w:t>22</w:t>
      </w:r>
      <w:r w:rsidRPr="00DA7E42">
        <w:rPr>
          <w:lang w:val="en-US"/>
        </w:rPr>
        <w:t>, S7–S19.</w:t>
      </w:r>
    </w:p>
    <w:p w14:paraId="29BCB61B" w14:textId="77777777" w:rsidR="00DA7E42" w:rsidRPr="00DA7E42" w:rsidRDefault="00DA7E42" w:rsidP="00DA7E42">
      <w:pPr>
        <w:pStyle w:val="Bibliographie"/>
        <w:rPr>
          <w:lang w:val="en-US"/>
        </w:rPr>
      </w:pPr>
      <w:r w:rsidRPr="00DA7E42">
        <w:rPr>
          <w:lang w:val="en-US"/>
        </w:rPr>
        <w:t xml:space="preserve">Amara, N., Ouimet, M., &amp; Landry, R. (2004). New evidence on instrumental, conceptual, and symbolic utilization of university research in government agencies. </w:t>
      </w:r>
      <w:r w:rsidRPr="00DA7E42">
        <w:rPr>
          <w:i/>
          <w:iCs/>
          <w:lang w:val="en-US"/>
        </w:rPr>
        <w:t>Sci Commun</w:t>
      </w:r>
      <w:r w:rsidRPr="00DA7E42">
        <w:rPr>
          <w:lang w:val="en-US"/>
        </w:rPr>
        <w:t xml:space="preserve">, </w:t>
      </w:r>
      <w:r w:rsidRPr="00DA7E42">
        <w:rPr>
          <w:i/>
          <w:iCs/>
          <w:lang w:val="en-US"/>
        </w:rPr>
        <w:t>26</w:t>
      </w:r>
      <w:r w:rsidRPr="00DA7E42">
        <w:rPr>
          <w:lang w:val="en-US"/>
        </w:rPr>
        <w:t>. doi:10.1177/1075547004267491</w:t>
      </w:r>
    </w:p>
    <w:p w14:paraId="47A2F21D" w14:textId="77777777" w:rsidR="00DA7E42" w:rsidRPr="00DA7E42" w:rsidRDefault="00DA7E42" w:rsidP="00DA7E42">
      <w:pPr>
        <w:pStyle w:val="Bibliographie"/>
        <w:rPr>
          <w:lang w:val="en-US"/>
        </w:rPr>
      </w:pPr>
      <w:r w:rsidRPr="00DA7E42">
        <w:rPr>
          <w:lang w:val="en-US"/>
        </w:rPr>
        <w:t xml:space="preserve">Arnold, E., Clark, J., &amp; Muscio, A. (2005). What the evaluation record tells us about European Union Framework Programme performance. </w:t>
      </w:r>
      <w:r w:rsidRPr="00DA7E42">
        <w:rPr>
          <w:i/>
          <w:iCs/>
          <w:lang w:val="en-US"/>
        </w:rPr>
        <w:t>Science and Public Policy</w:t>
      </w:r>
      <w:r w:rsidRPr="00DA7E42">
        <w:rPr>
          <w:lang w:val="en-US"/>
        </w:rPr>
        <w:t xml:space="preserve">, </w:t>
      </w:r>
      <w:r w:rsidRPr="00DA7E42">
        <w:rPr>
          <w:i/>
          <w:iCs/>
          <w:lang w:val="en-US"/>
        </w:rPr>
        <w:t>32</w:t>
      </w:r>
      <w:r w:rsidRPr="00DA7E42">
        <w:rPr>
          <w:lang w:val="en-US"/>
        </w:rPr>
        <w:t>(5), 385–397.</w:t>
      </w:r>
    </w:p>
    <w:p w14:paraId="512F273D" w14:textId="77777777" w:rsidR="00DA7E42" w:rsidRPr="00DA7E42" w:rsidRDefault="00DA7E42" w:rsidP="00DA7E42">
      <w:pPr>
        <w:pStyle w:val="Bibliographie"/>
        <w:rPr>
          <w:lang w:val="en-US"/>
        </w:rPr>
      </w:pPr>
      <w:r w:rsidRPr="00DA7E42">
        <w:rPr>
          <w:lang w:val="en-US"/>
        </w:rPr>
        <w:t xml:space="preserve">Boaz, A., Fitzpatrick, S., &amp; Shaw, B. (2009). Assessing the impact of research on policy: a literature review. </w:t>
      </w:r>
      <w:r w:rsidRPr="00DA7E42">
        <w:rPr>
          <w:i/>
          <w:iCs/>
          <w:lang w:val="en-US"/>
        </w:rPr>
        <w:t>Science and Public Policy</w:t>
      </w:r>
      <w:r w:rsidRPr="00DA7E42">
        <w:rPr>
          <w:lang w:val="en-US"/>
        </w:rPr>
        <w:t xml:space="preserve">, </w:t>
      </w:r>
      <w:r w:rsidRPr="00DA7E42">
        <w:rPr>
          <w:i/>
          <w:iCs/>
          <w:lang w:val="en-US"/>
        </w:rPr>
        <w:t>36</w:t>
      </w:r>
      <w:r w:rsidRPr="00DA7E42">
        <w:rPr>
          <w:lang w:val="en-US"/>
        </w:rPr>
        <w:t>(4), 255–270.</w:t>
      </w:r>
    </w:p>
    <w:p w14:paraId="19012DCC" w14:textId="77777777" w:rsidR="00DA7E42" w:rsidRPr="00DA7E42" w:rsidRDefault="00DA7E42" w:rsidP="00DA7E42">
      <w:pPr>
        <w:pStyle w:val="Bibliographie"/>
        <w:rPr>
          <w:lang w:val="en-US"/>
        </w:rPr>
      </w:pPr>
      <w:r w:rsidRPr="00DA7E42">
        <w:rPr>
          <w:lang w:val="en-US"/>
        </w:rPr>
        <w:t xml:space="preserve">Bornmann, L. (2013). What is societal impact of research and how can it be assessed? a literature survey. </w:t>
      </w:r>
      <w:r w:rsidRPr="00DA7E42">
        <w:rPr>
          <w:i/>
          <w:iCs/>
          <w:lang w:val="en-US"/>
        </w:rPr>
        <w:t>Journal of the American Society for Information Science and Technology</w:t>
      </w:r>
      <w:r w:rsidRPr="00DA7E42">
        <w:rPr>
          <w:lang w:val="en-US"/>
        </w:rPr>
        <w:t xml:space="preserve">, </w:t>
      </w:r>
      <w:r w:rsidRPr="00DA7E42">
        <w:rPr>
          <w:i/>
          <w:iCs/>
          <w:lang w:val="en-US"/>
        </w:rPr>
        <w:t>64</w:t>
      </w:r>
      <w:r w:rsidRPr="00DA7E42">
        <w:rPr>
          <w:lang w:val="en-US"/>
        </w:rPr>
        <w:t>(2), 217</w:t>
      </w:r>
      <w:r w:rsidRPr="00DA7E42">
        <w:rPr>
          <w:rFonts w:ascii="MS Mincho" w:eastAsia="MS Mincho" w:hAnsi="MS Mincho" w:cs="MS Mincho" w:hint="eastAsia"/>
          <w:lang w:val="en-US"/>
        </w:rPr>
        <w:t>‑</w:t>
      </w:r>
      <w:r w:rsidRPr="00DA7E42">
        <w:rPr>
          <w:lang w:val="en-US"/>
        </w:rPr>
        <w:t>233.</w:t>
      </w:r>
    </w:p>
    <w:p w14:paraId="5D46AE65" w14:textId="77777777" w:rsidR="00DA7E42" w:rsidRPr="00DA7E42" w:rsidRDefault="00DA7E42" w:rsidP="00DA7E42">
      <w:pPr>
        <w:pStyle w:val="Bibliographie"/>
        <w:rPr>
          <w:lang w:val="en-US"/>
        </w:rPr>
      </w:pPr>
      <w:r w:rsidRPr="00DA7E42">
        <w:rPr>
          <w:lang w:val="en-US"/>
        </w:rPr>
        <w:t xml:space="preserve">Bozeman, B., &amp; Sarewitz, D. (2011). Public Value Mapping and Science Policy Evaluation. </w:t>
      </w:r>
      <w:r w:rsidRPr="00DA7E42">
        <w:rPr>
          <w:i/>
          <w:iCs/>
          <w:lang w:val="en-US"/>
        </w:rPr>
        <w:t>Minerva</w:t>
      </w:r>
      <w:r w:rsidRPr="00DA7E42">
        <w:rPr>
          <w:lang w:val="en-US"/>
        </w:rPr>
        <w:t xml:space="preserve">, </w:t>
      </w:r>
      <w:r w:rsidRPr="00DA7E42">
        <w:rPr>
          <w:i/>
          <w:iCs/>
          <w:lang w:val="en-US"/>
        </w:rPr>
        <w:t>49</w:t>
      </w:r>
      <w:r w:rsidRPr="00DA7E42">
        <w:rPr>
          <w:lang w:val="en-US"/>
        </w:rPr>
        <w:t>, 1</w:t>
      </w:r>
      <w:r w:rsidRPr="00DA7E42">
        <w:rPr>
          <w:rFonts w:ascii="MS Mincho" w:eastAsia="MS Mincho" w:hAnsi="MS Mincho" w:cs="MS Mincho" w:hint="eastAsia"/>
          <w:lang w:val="en-US"/>
        </w:rPr>
        <w:t>‑</w:t>
      </w:r>
      <w:r w:rsidRPr="00DA7E42">
        <w:rPr>
          <w:lang w:val="en-US"/>
        </w:rPr>
        <w:t>23.</w:t>
      </w:r>
    </w:p>
    <w:p w14:paraId="7B9D36DF" w14:textId="77777777" w:rsidR="00DA7E42" w:rsidRDefault="00DA7E42" w:rsidP="00DA7E42">
      <w:pPr>
        <w:pStyle w:val="Bibliographie"/>
      </w:pPr>
      <w:r w:rsidRPr="00DA7E42">
        <w:rPr>
          <w:lang w:val="en-US"/>
        </w:rPr>
        <w:t>Bozeman, B., &amp; Youtie, J. (2015). Socio-­</w:t>
      </w:r>
      <w:r w:rsidRPr="00DA7E42">
        <w:rPr>
          <w:rFonts w:ascii="Cambria Math" w:hAnsi="Cambria Math" w:cs="Cambria Math"/>
          <w:lang w:val="en-US"/>
        </w:rPr>
        <w:t>‐</w:t>
      </w:r>
      <w:r w:rsidRPr="00DA7E42">
        <w:rPr>
          <w:lang w:val="en-US"/>
        </w:rPr>
        <w:t>Economic Impacts and Public Value of Government-</w:t>
      </w:r>
      <w:r w:rsidRPr="00DA7E42">
        <w:rPr>
          <w:rFonts w:cs="Times New Roman"/>
          <w:lang w:val="en-US"/>
        </w:rPr>
        <w:t>­</w:t>
      </w:r>
      <w:r w:rsidRPr="00DA7E42">
        <w:rPr>
          <w:rFonts w:ascii="Cambria Math" w:hAnsi="Cambria Math" w:cs="Cambria Math"/>
          <w:lang w:val="en-US"/>
        </w:rPr>
        <w:t>‐</w:t>
      </w:r>
      <w:r w:rsidRPr="00DA7E42">
        <w:rPr>
          <w:lang w:val="en-US"/>
        </w:rPr>
        <w:t xml:space="preserve">Funded Research: Lessons From Four US National Science Foundation Initiatives. </w:t>
      </w:r>
      <w:r>
        <w:t>Pr</w:t>
      </w:r>
      <w:r>
        <w:rPr>
          <w:rFonts w:cs="Times New Roman"/>
        </w:rPr>
        <w:t>é</w:t>
      </w:r>
      <w:r>
        <w:t>sent</w:t>
      </w:r>
      <w:r>
        <w:rPr>
          <w:rFonts w:cs="Times New Roman"/>
        </w:rPr>
        <w:t>é</w:t>
      </w:r>
      <w:r>
        <w:t xml:space="preserve"> </w:t>
      </w:r>
      <w:r>
        <w:rPr>
          <w:rFonts w:cs="Times New Roman"/>
        </w:rPr>
        <w:t>à</w:t>
      </w:r>
      <w:r>
        <w:t xml:space="preserve"> ImpAR Conference, Paris, France: INRA. https://colloque.inra.fr/impar/Program-Material</w:t>
      </w:r>
    </w:p>
    <w:p w14:paraId="594F1593" w14:textId="77777777" w:rsidR="00DA7E42" w:rsidRPr="00DA7E42" w:rsidRDefault="00DA7E42" w:rsidP="00DA7E42">
      <w:pPr>
        <w:pStyle w:val="Bibliographie"/>
        <w:rPr>
          <w:lang w:val="en-US"/>
        </w:rPr>
      </w:pPr>
      <w:r w:rsidRPr="00DA7E42">
        <w:rPr>
          <w:lang w:val="en-US"/>
        </w:rPr>
        <w:t xml:space="preserve">Brewer, J. D. (2011). The impact of impact. </w:t>
      </w:r>
      <w:r w:rsidRPr="00DA7E42">
        <w:rPr>
          <w:i/>
          <w:iCs/>
          <w:lang w:val="en-US"/>
        </w:rPr>
        <w:t>Research Evaluation</w:t>
      </w:r>
      <w:r w:rsidRPr="00DA7E42">
        <w:rPr>
          <w:lang w:val="en-US"/>
        </w:rPr>
        <w:t xml:space="preserve">, </w:t>
      </w:r>
      <w:r w:rsidRPr="00DA7E42">
        <w:rPr>
          <w:i/>
          <w:iCs/>
          <w:lang w:val="en-US"/>
        </w:rPr>
        <w:t>20</w:t>
      </w:r>
      <w:r w:rsidRPr="00DA7E42">
        <w:rPr>
          <w:lang w:val="en-US"/>
        </w:rPr>
        <w:t>(3), 255–256.</w:t>
      </w:r>
    </w:p>
    <w:p w14:paraId="49FB9F50" w14:textId="77777777" w:rsidR="00DA7E42" w:rsidRPr="00DA7E42" w:rsidRDefault="00DA7E42" w:rsidP="00DA7E42">
      <w:pPr>
        <w:pStyle w:val="Bibliographie"/>
        <w:rPr>
          <w:lang w:val="en-US"/>
        </w:rPr>
      </w:pPr>
      <w:r w:rsidRPr="00DA7E42">
        <w:rPr>
          <w:lang w:val="en-US"/>
        </w:rPr>
        <w:t xml:space="preserve">Callon, M. (1986). The sociology of an actor-network. In </w:t>
      </w:r>
      <w:r w:rsidRPr="00DA7E42">
        <w:rPr>
          <w:i/>
          <w:iCs/>
          <w:lang w:val="en-US"/>
        </w:rPr>
        <w:t>Mapping the Dynamics of Science and Technology</w:t>
      </w:r>
      <w:r w:rsidRPr="00DA7E42">
        <w:rPr>
          <w:lang w:val="en-US"/>
        </w:rPr>
        <w:t xml:space="preserve"> (Macmillan.). London: M. Callon, J. Law, and A. Rip.</w:t>
      </w:r>
    </w:p>
    <w:p w14:paraId="551BA404" w14:textId="77777777" w:rsidR="00DA7E42" w:rsidRPr="00DA7E42" w:rsidRDefault="00DA7E42" w:rsidP="00DA7E42">
      <w:pPr>
        <w:pStyle w:val="Bibliographie"/>
        <w:rPr>
          <w:lang w:val="en-US"/>
        </w:rPr>
      </w:pPr>
      <w:r w:rsidRPr="00DA7E42">
        <w:rPr>
          <w:lang w:val="en-US"/>
        </w:rPr>
        <w:t xml:space="preserve">Caplan, N. (1979). The two-communities theory and knowledge utilization. </w:t>
      </w:r>
      <w:r w:rsidRPr="00DA7E42">
        <w:rPr>
          <w:i/>
          <w:iCs/>
          <w:lang w:val="en-US"/>
        </w:rPr>
        <w:t>The American Behavioral Scientist</w:t>
      </w:r>
      <w:r w:rsidRPr="00DA7E42">
        <w:rPr>
          <w:lang w:val="en-US"/>
        </w:rPr>
        <w:t xml:space="preserve">, </w:t>
      </w:r>
      <w:r w:rsidRPr="00DA7E42">
        <w:rPr>
          <w:i/>
          <w:iCs/>
          <w:lang w:val="en-US"/>
        </w:rPr>
        <w:t>22</w:t>
      </w:r>
      <w:r w:rsidRPr="00DA7E42">
        <w:rPr>
          <w:lang w:val="en-US"/>
        </w:rPr>
        <w:t>(3), 459.</w:t>
      </w:r>
    </w:p>
    <w:p w14:paraId="20701322" w14:textId="77777777" w:rsidR="00DA7E42" w:rsidRPr="00DA7E42" w:rsidRDefault="00DA7E42" w:rsidP="00DA7E42">
      <w:pPr>
        <w:pStyle w:val="Bibliographie"/>
        <w:rPr>
          <w:lang w:val="en-US"/>
        </w:rPr>
      </w:pPr>
      <w:r w:rsidRPr="00DA7E42">
        <w:rPr>
          <w:lang w:val="en-US"/>
        </w:rPr>
        <w:t xml:space="preserve">Carden, F. (2004). Issues in assessing the policy influence of research. </w:t>
      </w:r>
      <w:r w:rsidRPr="00DA7E42">
        <w:rPr>
          <w:i/>
          <w:iCs/>
          <w:lang w:val="en-US"/>
        </w:rPr>
        <w:t>International Social Science Journal</w:t>
      </w:r>
      <w:r w:rsidRPr="00DA7E42">
        <w:rPr>
          <w:lang w:val="en-US"/>
        </w:rPr>
        <w:t xml:space="preserve">, </w:t>
      </w:r>
      <w:r w:rsidRPr="00DA7E42">
        <w:rPr>
          <w:i/>
          <w:iCs/>
          <w:lang w:val="en-US"/>
        </w:rPr>
        <w:t>56</w:t>
      </w:r>
      <w:r w:rsidRPr="00DA7E42">
        <w:rPr>
          <w:lang w:val="en-US"/>
        </w:rPr>
        <w:t>(179), 135–151.</w:t>
      </w:r>
    </w:p>
    <w:p w14:paraId="069AC57D" w14:textId="77777777" w:rsidR="00DA7E42" w:rsidRPr="00DA7E42" w:rsidRDefault="00DA7E42" w:rsidP="00DA7E42">
      <w:pPr>
        <w:pStyle w:val="Bibliographie"/>
        <w:rPr>
          <w:lang w:val="en-US"/>
        </w:rPr>
      </w:pPr>
      <w:r w:rsidRPr="00DA7E42">
        <w:rPr>
          <w:lang w:val="en-US"/>
        </w:rPr>
        <w:t xml:space="preserve">Cash, D., Clark, W. C., Alcock, F., Dickson, N., Eckley, N., &amp; Jäger, J. (2003). Salience, Credibility, Legitimacy and Boundaries: Linking Research, Assessment and Decision Making. </w:t>
      </w:r>
      <w:r w:rsidRPr="00DA7E42">
        <w:rPr>
          <w:i/>
          <w:iCs/>
          <w:lang w:val="en-US"/>
        </w:rPr>
        <w:t>SSRN Electronic Journal</w:t>
      </w:r>
      <w:r w:rsidRPr="00DA7E42">
        <w:rPr>
          <w:lang w:val="en-US"/>
        </w:rPr>
        <w:t>. doi:10.2139/ssrn.372280</w:t>
      </w:r>
    </w:p>
    <w:p w14:paraId="7A97007B" w14:textId="77777777" w:rsidR="00DA7E42" w:rsidRPr="00DA7E42" w:rsidRDefault="00DA7E42" w:rsidP="00DA7E42">
      <w:pPr>
        <w:pStyle w:val="Bibliographie"/>
        <w:rPr>
          <w:lang w:val="en-US"/>
        </w:rPr>
      </w:pPr>
      <w:r w:rsidRPr="00DA7E42">
        <w:rPr>
          <w:lang w:val="en-US"/>
        </w:rPr>
        <w:t xml:space="preserve">Cohen, G., Schroeder, J., Newson, R., King, L., Rychetnik, L., Milat, A., et al. (2015). Does health intervention research have real world policy and practice impacts: testing a new impact assessment tool. </w:t>
      </w:r>
      <w:r w:rsidRPr="00DA7E42">
        <w:rPr>
          <w:i/>
          <w:iCs/>
          <w:lang w:val="en-US"/>
        </w:rPr>
        <w:t>Health Research Policy and Systems</w:t>
      </w:r>
      <w:r w:rsidRPr="00DA7E42">
        <w:rPr>
          <w:lang w:val="en-US"/>
        </w:rPr>
        <w:t xml:space="preserve">, </w:t>
      </w:r>
      <w:r w:rsidRPr="00DA7E42">
        <w:rPr>
          <w:i/>
          <w:iCs/>
          <w:lang w:val="en-US"/>
        </w:rPr>
        <w:t>13</w:t>
      </w:r>
      <w:r w:rsidRPr="00DA7E42">
        <w:rPr>
          <w:lang w:val="en-US"/>
        </w:rPr>
        <w:t>(1), 3. doi:10.1186/1478-4505-13-3</w:t>
      </w:r>
    </w:p>
    <w:p w14:paraId="0DFA781B" w14:textId="77777777" w:rsidR="00DA7E42" w:rsidRPr="00DA7E42" w:rsidRDefault="00DA7E42" w:rsidP="00DA7E42">
      <w:pPr>
        <w:pStyle w:val="Bibliographie"/>
        <w:rPr>
          <w:lang w:val="en-US"/>
        </w:rPr>
      </w:pPr>
      <w:r w:rsidRPr="00DA7E42">
        <w:rPr>
          <w:lang w:val="en-US"/>
        </w:rPr>
        <w:t>Cozzens, S., &amp; Snoek, M. (2010). Knowledge to Policy Contributing to the Measurement of Social, Health, and Environmental Benefits. Présenté à Workshop on the Science of Science Measurement, Washington, DC.</w:t>
      </w:r>
    </w:p>
    <w:p w14:paraId="5CDE5C3A" w14:textId="2C8304FB" w:rsidR="00DA7E42" w:rsidRDefault="00DA7E42" w:rsidP="00DA7E42">
      <w:pPr>
        <w:pStyle w:val="Bibliographie"/>
      </w:pPr>
      <w:r>
        <w:t xml:space="preserve">Davies, H. T., &amp; Nutley, S. (2008). </w:t>
      </w:r>
      <w:r w:rsidRPr="00DA7E42">
        <w:rPr>
          <w:i/>
          <w:iCs/>
          <w:lang w:val="en-US"/>
        </w:rPr>
        <w:t>Learning more about how research-based knowledge gets used: Guidance in the development of new empirical research.</w:t>
      </w:r>
      <w:r w:rsidRPr="00DA7E42">
        <w:rPr>
          <w:lang w:val="en-US"/>
        </w:rPr>
        <w:t xml:space="preserve"> </w:t>
      </w:r>
      <w:r>
        <w:t xml:space="preserve">New-York: W T Grant Foundation. </w:t>
      </w:r>
    </w:p>
    <w:p w14:paraId="598514A8" w14:textId="05ABD7D0" w:rsidR="00DA7E42" w:rsidRPr="00DA7E42" w:rsidRDefault="00DA7E42" w:rsidP="00DA7E42">
      <w:pPr>
        <w:pStyle w:val="Bibliographie"/>
        <w:rPr>
          <w:lang w:val="en-US"/>
        </w:rPr>
      </w:pPr>
      <w:r w:rsidRPr="00DA7E42">
        <w:rPr>
          <w:lang w:val="en-US"/>
        </w:rPr>
        <w:t xml:space="preserve">Davies, H. T., Powell, A. E., &amp; Nutley, S. M. (2015). Mobilising knowledge to improve UK health care: learning from other countries and other sectors–a multimethod mapping study. </w:t>
      </w:r>
      <w:r w:rsidRPr="00DA7E42">
        <w:rPr>
          <w:i/>
          <w:iCs/>
          <w:lang w:val="en-US"/>
        </w:rPr>
        <w:t>Health Services and Delivery Research</w:t>
      </w:r>
      <w:r w:rsidRPr="00DA7E42">
        <w:rPr>
          <w:lang w:val="en-US"/>
        </w:rPr>
        <w:t xml:space="preserve">, (3.27). </w:t>
      </w:r>
    </w:p>
    <w:p w14:paraId="617646F9" w14:textId="77777777" w:rsidR="00DA7E42" w:rsidRPr="00DA7E42" w:rsidRDefault="00DA7E42" w:rsidP="00DA7E42">
      <w:pPr>
        <w:pStyle w:val="Bibliographie"/>
        <w:rPr>
          <w:lang w:val="en-US"/>
        </w:rPr>
      </w:pPr>
      <w:r w:rsidRPr="00DA7E42">
        <w:rPr>
          <w:lang w:val="en-US"/>
        </w:rPr>
        <w:t xml:space="preserve">Donovan, C. (2011). State of the art of assessing research impact: introduction to a special issue, Research Evaluation. </w:t>
      </w:r>
      <w:r w:rsidRPr="00DA7E42">
        <w:rPr>
          <w:i/>
          <w:iCs/>
          <w:lang w:val="en-US"/>
        </w:rPr>
        <w:t>Research Evaluation</w:t>
      </w:r>
      <w:r w:rsidRPr="00DA7E42">
        <w:rPr>
          <w:lang w:val="en-US"/>
        </w:rPr>
        <w:t xml:space="preserve">, </w:t>
      </w:r>
      <w:r w:rsidRPr="00DA7E42">
        <w:rPr>
          <w:i/>
          <w:iCs/>
          <w:lang w:val="en-US"/>
        </w:rPr>
        <w:t>20</w:t>
      </w:r>
      <w:r w:rsidRPr="00DA7E42">
        <w:rPr>
          <w:lang w:val="en-US"/>
        </w:rPr>
        <w:t>(3), 175</w:t>
      </w:r>
      <w:r w:rsidRPr="00DA7E42">
        <w:rPr>
          <w:rFonts w:ascii="MS Mincho" w:eastAsia="MS Mincho" w:hAnsi="MS Mincho" w:cs="MS Mincho" w:hint="eastAsia"/>
          <w:lang w:val="en-US"/>
        </w:rPr>
        <w:t>‑</w:t>
      </w:r>
      <w:r w:rsidRPr="00DA7E42">
        <w:rPr>
          <w:lang w:val="en-US"/>
        </w:rPr>
        <w:t>179.</w:t>
      </w:r>
    </w:p>
    <w:p w14:paraId="118DA569" w14:textId="77777777" w:rsidR="00DA7E42" w:rsidRPr="00DA7E42" w:rsidRDefault="00DA7E42" w:rsidP="00DA7E42">
      <w:pPr>
        <w:pStyle w:val="Bibliographie"/>
        <w:rPr>
          <w:lang w:val="en-US"/>
        </w:rPr>
      </w:pPr>
      <w:r w:rsidRPr="00DA7E42">
        <w:rPr>
          <w:lang w:val="en-US"/>
        </w:rPr>
        <w:t xml:space="preserve">Georghiou, L., &amp; Roesner, D. (2000). Evaluating technology programs: tools and methods. </w:t>
      </w:r>
      <w:r w:rsidRPr="00DA7E42">
        <w:rPr>
          <w:i/>
          <w:iCs/>
          <w:lang w:val="en-US"/>
        </w:rPr>
        <w:t>Research Policy</w:t>
      </w:r>
      <w:r w:rsidRPr="00DA7E42">
        <w:rPr>
          <w:lang w:val="en-US"/>
        </w:rPr>
        <w:t xml:space="preserve">, </w:t>
      </w:r>
      <w:r w:rsidRPr="00DA7E42">
        <w:rPr>
          <w:i/>
          <w:iCs/>
          <w:lang w:val="en-US"/>
        </w:rPr>
        <w:t>29</w:t>
      </w:r>
      <w:r w:rsidRPr="00DA7E42">
        <w:rPr>
          <w:lang w:val="en-US"/>
        </w:rPr>
        <w:t>, 657</w:t>
      </w:r>
      <w:r w:rsidRPr="00DA7E42">
        <w:rPr>
          <w:rFonts w:ascii="MS Mincho" w:eastAsia="MS Mincho" w:hAnsi="MS Mincho" w:cs="MS Mincho" w:hint="eastAsia"/>
          <w:lang w:val="en-US"/>
        </w:rPr>
        <w:t>‑</w:t>
      </w:r>
      <w:r w:rsidRPr="00DA7E42">
        <w:rPr>
          <w:lang w:val="en-US"/>
        </w:rPr>
        <w:t>678.</w:t>
      </w:r>
    </w:p>
    <w:p w14:paraId="020F76A7" w14:textId="77777777" w:rsidR="00DA7E42" w:rsidRPr="00DA7E42" w:rsidRDefault="00DA7E42" w:rsidP="00DA7E42">
      <w:pPr>
        <w:pStyle w:val="Bibliographie"/>
        <w:rPr>
          <w:lang w:val="en-US"/>
        </w:rPr>
      </w:pPr>
      <w:r w:rsidRPr="00DA7E42">
        <w:rPr>
          <w:lang w:val="en-US"/>
        </w:rPr>
        <w:t xml:space="preserve">Greenhalgh, T., Raftery, J., Hanney, S., &amp; Glover, M. (2016). Research impact: a narrative review. </w:t>
      </w:r>
      <w:r w:rsidRPr="00DA7E42">
        <w:rPr>
          <w:i/>
          <w:iCs/>
          <w:lang w:val="en-US"/>
        </w:rPr>
        <w:t>BMC Medicine</w:t>
      </w:r>
      <w:r w:rsidRPr="00DA7E42">
        <w:rPr>
          <w:lang w:val="en-US"/>
        </w:rPr>
        <w:t xml:space="preserve">, </w:t>
      </w:r>
      <w:r w:rsidRPr="00DA7E42">
        <w:rPr>
          <w:i/>
          <w:iCs/>
          <w:lang w:val="en-US"/>
        </w:rPr>
        <w:t>14</w:t>
      </w:r>
      <w:r w:rsidRPr="00DA7E42">
        <w:rPr>
          <w:lang w:val="en-US"/>
        </w:rPr>
        <w:t>(1), 78. doi:10.1186/s12916-016-0620-8</w:t>
      </w:r>
    </w:p>
    <w:p w14:paraId="26479F6A" w14:textId="77777777" w:rsidR="00DA7E42" w:rsidRPr="00DA7E42" w:rsidRDefault="00DA7E42" w:rsidP="00DA7E42">
      <w:pPr>
        <w:pStyle w:val="Bibliographie"/>
        <w:rPr>
          <w:lang w:val="en-US"/>
        </w:rPr>
      </w:pPr>
      <w:r w:rsidRPr="00DA7E42">
        <w:rPr>
          <w:lang w:val="en-US"/>
        </w:rPr>
        <w:t xml:space="preserve">Hanney, S. R., Gonzalez-Block, M. A., Buxton, M. J., &amp; Kogan, M. (2003). The utilisation of health research in policy-making: Concepts, examples and methods of assessment. </w:t>
      </w:r>
      <w:r w:rsidRPr="00DA7E42">
        <w:rPr>
          <w:i/>
          <w:iCs/>
          <w:lang w:val="en-US"/>
        </w:rPr>
        <w:t>Health Research Policy and Systems</w:t>
      </w:r>
      <w:r w:rsidRPr="00DA7E42">
        <w:rPr>
          <w:lang w:val="en-US"/>
        </w:rPr>
        <w:t xml:space="preserve">, </w:t>
      </w:r>
      <w:r w:rsidRPr="00DA7E42">
        <w:rPr>
          <w:i/>
          <w:iCs/>
          <w:lang w:val="en-US"/>
        </w:rPr>
        <w:t>1</w:t>
      </w:r>
      <w:r w:rsidRPr="00DA7E42">
        <w:rPr>
          <w:lang w:val="en-US"/>
        </w:rPr>
        <w:t>, 2.</w:t>
      </w:r>
    </w:p>
    <w:p w14:paraId="24BB6893" w14:textId="77777777" w:rsidR="00DA7E42" w:rsidRPr="00DA7E42" w:rsidRDefault="00DA7E42" w:rsidP="00DA7E42">
      <w:pPr>
        <w:pStyle w:val="Bibliographie"/>
        <w:rPr>
          <w:lang w:val="en-US"/>
        </w:rPr>
      </w:pPr>
      <w:r w:rsidRPr="00DA7E42">
        <w:rPr>
          <w:lang w:val="en-US"/>
        </w:rPr>
        <w:t xml:space="preserve">Hazell, P., &amp; Slade, R. (2014). Policy Research: The Search for Impact. In </w:t>
      </w:r>
      <w:r w:rsidRPr="00DA7E42">
        <w:rPr>
          <w:i/>
          <w:iCs/>
          <w:lang w:val="en-US"/>
        </w:rPr>
        <w:t>Workshop on best practice methods for assessing the impact of policy-oriented research: summary and recommendations for the CGIAR</w:t>
      </w:r>
      <w:r w:rsidRPr="00DA7E42">
        <w:rPr>
          <w:lang w:val="en-US"/>
        </w:rPr>
        <w:t>. Washington D.C.</w:t>
      </w:r>
    </w:p>
    <w:p w14:paraId="44A78952" w14:textId="77777777" w:rsidR="00DA7E42" w:rsidRPr="00DA7E42" w:rsidRDefault="00DA7E42" w:rsidP="00DA7E42">
      <w:pPr>
        <w:pStyle w:val="Bibliographie"/>
        <w:rPr>
          <w:lang w:val="en-US"/>
        </w:rPr>
      </w:pPr>
      <w:r w:rsidRPr="00DA7E42">
        <w:rPr>
          <w:lang w:val="en-US"/>
        </w:rPr>
        <w:t xml:space="preserve">Heclo, H. (1978). Issue networks and the executive establishment. </w:t>
      </w:r>
      <w:r w:rsidRPr="00DA7E42">
        <w:rPr>
          <w:i/>
          <w:iCs/>
          <w:lang w:val="en-US"/>
        </w:rPr>
        <w:t>Public administration: Concepts and cases</w:t>
      </w:r>
      <w:r w:rsidRPr="00DA7E42">
        <w:rPr>
          <w:lang w:val="en-US"/>
        </w:rPr>
        <w:t xml:space="preserve">, </w:t>
      </w:r>
      <w:r w:rsidRPr="00DA7E42">
        <w:rPr>
          <w:i/>
          <w:iCs/>
          <w:lang w:val="en-US"/>
        </w:rPr>
        <w:t>413</w:t>
      </w:r>
      <w:r w:rsidRPr="00DA7E42">
        <w:rPr>
          <w:lang w:val="en-US"/>
        </w:rPr>
        <w:t>.</w:t>
      </w:r>
    </w:p>
    <w:p w14:paraId="6A4BF849" w14:textId="77777777" w:rsidR="00DA7E42" w:rsidRDefault="00DA7E42" w:rsidP="00DA7E42">
      <w:pPr>
        <w:pStyle w:val="Bibliographie"/>
      </w:pPr>
      <w:r w:rsidRPr="00DA7E42">
        <w:rPr>
          <w:lang w:val="en-US"/>
        </w:rPr>
        <w:t xml:space="preserve">Hill, S. (2016). Assessing (for) Impact: Future Assessment of the Societal Impact of Research. </w:t>
      </w:r>
      <w:r>
        <w:rPr>
          <w:i/>
          <w:iCs/>
        </w:rPr>
        <w:t>Palgrave Communications</w:t>
      </w:r>
      <w:r>
        <w:t>. doi:10.1057/palcomms.2016.73</w:t>
      </w:r>
    </w:p>
    <w:p w14:paraId="7F80FF21" w14:textId="77777777" w:rsidR="00DA7E42" w:rsidRPr="00DA7E42" w:rsidRDefault="00DA7E42" w:rsidP="00DA7E42">
      <w:pPr>
        <w:pStyle w:val="Bibliographie"/>
        <w:rPr>
          <w:lang w:val="en-US"/>
        </w:rPr>
      </w:pPr>
      <w:r>
        <w:t xml:space="preserve">Joly, P.-B., Gaunand, A., Colinet, L., Larédo, P., Lemarié, S., &amp; Matt, M. (2015). </w:t>
      </w:r>
      <w:r w:rsidRPr="00DA7E42">
        <w:rPr>
          <w:lang w:val="en-US"/>
        </w:rPr>
        <w:t xml:space="preserve">ASIRPA: A comprehensive theory-based approach to assessing the societal impacts of a research organization. </w:t>
      </w:r>
      <w:r w:rsidRPr="00DA7E42">
        <w:rPr>
          <w:i/>
          <w:iCs/>
          <w:lang w:val="en-US"/>
        </w:rPr>
        <w:t>Research Evaluation</w:t>
      </w:r>
      <w:r w:rsidRPr="00DA7E42">
        <w:rPr>
          <w:lang w:val="en-US"/>
        </w:rPr>
        <w:t xml:space="preserve">, </w:t>
      </w:r>
      <w:r w:rsidRPr="00DA7E42">
        <w:rPr>
          <w:i/>
          <w:iCs/>
          <w:lang w:val="en-US"/>
        </w:rPr>
        <w:t>24</w:t>
      </w:r>
      <w:r w:rsidRPr="00DA7E42">
        <w:rPr>
          <w:lang w:val="en-US"/>
        </w:rPr>
        <w:t>(4), 1</w:t>
      </w:r>
      <w:r w:rsidRPr="00DA7E42">
        <w:rPr>
          <w:rFonts w:ascii="MS Mincho" w:eastAsia="MS Mincho" w:hAnsi="MS Mincho" w:cs="MS Mincho" w:hint="eastAsia"/>
          <w:lang w:val="en-US"/>
        </w:rPr>
        <w:t>‑</w:t>
      </w:r>
      <w:r w:rsidRPr="00DA7E42">
        <w:rPr>
          <w:lang w:val="en-US"/>
        </w:rPr>
        <w:t>14. doi:10.1093/reseval/rvv015</w:t>
      </w:r>
    </w:p>
    <w:p w14:paraId="12C88370" w14:textId="77777777" w:rsidR="00DA7E42" w:rsidRPr="00DA7E42" w:rsidRDefault="00DA7E42" w:rsidP="00DA7E42">
      <w:pPr>
        <w:pStyle w:val="Bibliographie"/>
        <w:rPr>
          <w:lang w:val="en-US"/>
        </w:rPr>
      </w:pPr>
      <w:r w:rsidRPr="00DA7E42">
        <w:rPr>
          <w:lang w:val="en-US"/>
        </w:rPr>
        <w:t xml:space="preserve">Jones, H. (2009). Policy-making as discourse: a review of recent knowledge-to-policy literature. </w:t>
      </w:r>
      <w:r w:rsidRPr="00DA7E42">
        <w:rPr>
          <w:i/>
          <w:iCs/>
          <w:lang w:val="en-US"/>
        </w:rPr>
        <w:t>ODI-IKM Working Papers</w:t>
      </w:r>
      <w:r w:rsidRPr="00DA7E42">
        <w:rPr>
          <w:lang w:val="en-US"/>
        </w:rPr>
        <w:t>, (5), 37.</w:t>
      </w:r>
    </w:p>
    <w:p w14:paraId="31670920" w14:textId="252F3703" w:rsidR="00DA7E42" w:rsidRPr="00DA7E42" w:rsidRDefault="00DA7E42" w:rsidP="00DA7E42">
      <w:pPr>
        <w:pStyle w:val="Bibliographie"/>
        <w:rPr>
          <w:lang w:val="en-US"/>
        </w:rPr>
      </w:pPr>
      <w:r w:rsidRPr="00DA7E42">
        <w:rPr>
          <w:lang w:val="en-US"/>
        </w:rPr>
        <w:t>Kingdon, J</w:t>
      </w:r>
      <w:r w:rsidR="00A4795F">
        <w:rPr>
          <w:lang w:val="en-US"/>
        </w:rPr>
        <w:t xml:space="preserve">. </w:t>
      </w:r>
      <w:r w:rsidRPr="00DA7E42">
        <w:rPr>
          <w:lang w:val="en-US"/>
        </w:rPr>
        <w:t xml:space="preserve">W. (1995). Agenda setting. </w:t>
      </w:r>
      <w:r w:rsidRPr="00DA7E42">
        <w:rPr>
          <w:i/>
          <w:iCs/>
          <w:lang w:val="en-US"/>
        </w:rPr>
        <w:t>Public policy: The essential readings</w:t>
      </w:r>
      <w:r w:rsidRPr="00DA7E42">
        <w:rPr>
          <w:lang w:val="en-US"/>
        </w:rPr>
        <w:t>, 105–113.</w:t>
      </w:r>
    </w:p>
    <w:p w14:paraId="58D5D542" w14:textId="1F5E4190" w:rsidR="00DA7E42" w:rsidRPr="00DA7E42" w:rsidRDefault="00DA7E42" w:rsidP="00DA7E42">
      <w:pPr>
        <w:pStyle w:val="Bibliographie"/>
        <w:rPr>
          <w:lang w:val="en-US"/>
        </w:rPr>
      </w:pPr>
      <w:r w:rsidRPr="00DA7E42">
        <w:rPr>
          <w:lang w:val="en-US"/>
        </w:rPr>
        <w:t>Kingdon, J.</w:t>
      </w:r>
      <w:r w:rsidR="00A4795F">
        <w:rPr>
          <w:lang w:val="en-US"/>
        </w:rPr>
        <w:t xml:space="preserve"> </w:t>
      </w:r>
      <w:r w:rsidRPr="00DA7E42">
        <w:rPr>
          <w:lang w:val="en-US"/>
        </w:rPr>
        <w:t xml:space="preserve">W. (1984). </w:t>
      </w:r>
      <w:r w:rsidRPr="00DA7E42">
        <w:rPr>
          <w:i/>
          <w:iCs/>
          <w:lang w:val="en-US"/>
        </w:rPr>
        <w:t>Bridging Research and Policy: Agendas, Alternatives, and Public Policies</w:t>
      </w:r>
      <w:r w:rsidRPr="00DA7E42">
        <w:rPr>
          <w:lang w:val="en-US"/>
        </w:rPr>
        <w:t xml:space="preserve"> (New-York: Harper Collins.). New-York: Longman.</w:t>
      </w:r>
    </w:p>
    <w:p w14:paraId="1E632D81" w14:textId="77777777" w:rsidR="00DA7E42" w:rsidRPr="00DA7E42" w:rsidRDefault="00DA7E42" w:rsidP="00DA7E42">
      <w:pPr>
        <w:pStyle w:val="Bibliographie"/>
        <w:rPr>
          <w:lang w:val="en-US"/>
        </w:rPr>
      </w:pPr>
      <w:r w:rsidRPr="00DA7E42">
        <w:rPr>
          <w:lang w:val="en-US"/>
        </w:rPr>
        <w:t xml:space="preserve">Langfeldt, L. (2004). Expert panels evaluating research: decision-making and sources of bias. </w:t>
      </w:r>
      <w:r w:rsidRPr="00DA7E42">
        <w:rPr>
          <w:i/>
          <w:iCs/>
          <w:lang w:val="en-US"/>
        </w:rPr>
        <w:t>Research Evaluation</w:t>
      </w:r>
      <w:r w:rsidRPr="00DA7E42">
        <w:rPr>
          <w:lang w:val="en-US"/>
        </w:rPr>
        <w:t xml:space="preserve">, </w:t>
      </w:r>
      <w:r w:rsidRPr="00DA7E42">
        <w:rPr>
          <w:i/>
          <w:iCs/>
          <w:lang w:val="en-US"/>
        </w:rPr>
        <w:t>13</w:t>
      </w:r>
      <w:r w:rsidRPr="00DA7E42">
        <w:rPr>
          <w:lang w:val="en-US"/>
        </w:rPr>
        <w:t>(1), 51–62.</w:t>
      </w:r>
    </w:p>
    <w:p w14:paraId="5DD57040" w14:textId="77777777" w:rsidR="00DA7E42" w:rsidRPr="00DA7E42" w:rsidRDefault="00DA7E42" w:rsidP="00DA7E42">
      <w:pPr>
        <w:pStyle w:val="Bibliographie"/>
        <w:rPr>
          <w:lang w:val="en-US"/>
        </w:rPr>
      </w:pPr>
      <w:r w:rsidRPr="00DA7E42">
        <w:rPr>
          <w:lang w:val="en-US"/>
        </w:rPr>
        <w:t xml:space="preserve">Lasswell, Harold D. (1977). Political socialization as a policy science. In </w:t>
      </w:r>
      <w:r w:rsidRPr="00DA7E42">
        <w:rPr>
          <w:i/>
          <w:iCs/>
          <w:lang w:val="en-US"/>
        </w:rPr>
        <w:t>Handbook of Political Socialization</w:t>
      </w:r>
      <w:r w:rsidRPr="00DA7E42">
        <w:rPr>
          <w:lang w:val="en-US"/>
        </w:rPr>
        <w:t xml:space="preserve"> (Free Press., p. 445–467). SA Renhson.</w:t>
      </w:r>
    </w:p>
    <w:p w14:paraId="60401E8A" w14:textId="77777777" w:rsidR="00DA7E42" w:rsidRPr="00DA7E42" w:rsidRDefault="00DA7E42" w:rsidP="00DA7E42">
      <w:pPr>
        <w:pStyle w:val="Bibliographie"/>
        <w:rPr>
          <w:lang w:val="en-US"/>
        </w:rPr>
      </w:pPr>
      <w:r w:rsidRPr="00DA7E42">
        <w:rPr>
          <w:lang w:val="en-US"/>
        </w:rPr>
        <w:t xml:space="preserve">Lasswell, Harold Dwight, &amp; Lerner, D. (1951). </w:t>
      </w:r>
      <w:r w:rsidRPr="00DA7E42">
        <w:rPr>
          <w:i/>
          <w:iCs/>
          <w:lang w:val="en-US"/>
        </w:rPr>
        <w:t>The policy sciences</w:t>
      </w:r>
      <w:r w:rsidRPr="00DA7E42">
        <w:rPr>
          <w:lang w:val="en-US"/>
        </w:rPr>
        <w:t>. Stanford University Press.</w:t>
      </w:r>
    </w:p>
    <w:p w14:paraId="16E0856D" w14:textId="2871DBCE" w:rsidR="00DA7E42" w:rsidRPr="00DA7E42" w:rsidRDefault="00A4795F" w:rsidP="00DA7E42">
      <w:pPr>
        <w:pStyle w:val="Bibliographie"/>
        <w:rPr>
          <w:lang w:val="en-US"/>
        </w:rPr>
      </w:pPr>
      <w:r>
        <w:rPr>
          <w:lang w:val="en-US"/>
        </w:rPr>
        <w:t>Lindquist, E.</w:t>
      </w:r>
      <w:r w:rsidR="00DA7E42" w:rsidRPr="00DA7E42">
        <w:rPr>
          <w:lang w:val="en-US"/>
        </w:rPr>
        <w:t xml:space="preserve"> (2001). Discerning Policy Influence: Framework for a Strategic Evaluation of IDRC-Supported Research. Présenté à Cases, Concepts and Connections : the Influence of Research on Public Policy; Evaluation Workshop, Ottawa, ON, CA: School of Public Administration University of Victoria. </w:t>
      </w:r>
    </w:p>
    <w:p w14:paraId="3E6B72A6" w14:textId="77777777" w:rsidR="00DA7E42" w:rsidRPr="00DA7E42" w:rsidRDefault="00DA7E42" w:rsidP="00DA7E42">
      <w:pPr>
        <w:pStyle w:val="Bibliographie"/>
        <w:rPr>
          <w:lang w:val="en-US"/>
        </w:rPr>
      </w:pPr>
      <w:r w:rsidRPr="00DA7E42">
        <w:rPr>
          <w:lang w:val="en-US"/>
        </w:rPr>
        <w:t xml:space="preserve">Matt, M., Gaunand, A., Joly, P.-B., &amp; Colinet, L. (2017). Opening the black box of impact – Ideal-type impact pathways in a public agricultural research organization. </w:t>
      </w:r>
      <w:r w:rsidRPr="00DA7E42">
        <w:rPr>
          <w:i/>
          <w:iCs/>
          <w:lang w:val="en-US"/>
        </w:rPr>
        <w:t>Research Policy</w:t>
      </w:r>
      <w:r w:rsidRPr="00DA7E42">
        <w:rPr>
          <w:lang w:val="en-US"/>
        </w:rPr>
        <w:t xml:space="preserve">, </w:t>
      </w:r>
      <w:r w:rsidRPr="00DA7E42">
        <w:rPr>
          <w:i/>
          <w:iCs/>
          <w:lang w:val="en-US"/>
        </w:rPr>
        <w:t>46</w:t>
      </w:r>
      <w:r w:rsidRPr="00DA7E42">
        <w:rPr>
          <w:lang w:val="en-US"/>
        </w:rPr>
        <w:t>(1), 207</w:t>
      </w:r>
      <w:r w:rsidRPr="00DA7E42">
        <w:rPr>
          <w:rFonts w:ascii="MS Mincho" w:eastAsia="MS Mincho" w:hAnsi="MS Mincho" w:cs="MS Mincho" w:hint="eastAsia"/>
          <w:lang w:val="en-US"/>
        </w:rPr>
        <w:t>‑</w:t>
      </w:r>
      <w:r w:rsidRPr="00DA7E42">
        <w:rPr>
          <w:lang w:val="en-US"/>
        </w:rPr>
        <w:t>218. doi:10.1016/j.respol.2016.09.016</w:t>
      </w:r>
    </w:p>
    <w:p w14:paraId="3B1A3228" w14:textId="77777777" w:rsidR="00DA7E42" w:rsidRDefault="00DA7E42" w:rsidP="00DA7E42">
      <w:pPr>
        <w:pStyle w:val="Bibliographie"/>
      </w:pPr>
      <w:r w:rsidRPr="00DA7E42">
        <w:rPr>
          <w:lang w:val="en-US"/>
        </w:rPr>
        <w:t xml:space="preserve">Molas-Gallart, J., &amp; Davies, A. (2006). Toward Theory-Led Evaluation: The Experience of European Science, Technology, and Innovation Policies. </w:t>
      </w:r>
      <w:r>
        <w:rPr>
          <w:i/>
          <w:iCs/>
        </w:rPr>
        <w:t>American Journal of Evaluation</w:t>
      </w:r>
      <w:r>
        <w:t xml:space="preserve">, </w:t>
      </w:r>
      <w:r>
        <w:rPr>
          <w:i/>
          <w:iCs/>
        </w:rPr>
        <w:t>27</w:t>
      </w:r>
      <w:r>
        <w:t>(1), 64</w:t>
      </w:r>
      <w:r>
        <w:rPr>
          <w:rFonts w:ascii="MS Mincho" w:eastAsia="MS Mincho" w:hAnsi="MS Mincho" w:cs="MS Mincho" w:hint="eastAsia"/>
        </w:rPr>
        <w:t>‑</w:t>
      </w:r>
      <w:r>
        <w:t>82.</w:t>
      </w:r>
    </w:p>
    <w:p w14:paraId="7702F8ED" w14:textId="77777777" w:rsidR="00DA7E42" w:rsidRDefault="00DA7E42" w:rsidP="00DA7E42">
      <w:pPr>
        <w:pStyle w:val="Bibliographie"/>
      </w:pPr>
      <w:r>
        <w:t>Paradeise, C. (2012). Le sens de la mesure: la gestion par les indicateurs est-elle gage d’efficacité? Présenté à 9ème conférence de l’AFD/EUDN, Paris.</w:t>
      </w:r>
    </w:p>
    <w:p w14:paraId="4814987A" w14:textId="7F3BA15B" w:rsidR="00DA7E42" w:rsidRDefault="00DA7E42" w:rsidP="00DA7E42">
      <w:pPr>
        <w:pStyle w:val="Bibliographie"/>
      </w:pPr>
      <w:r w:rsidRPr="00921D03">
        <w:rPr>
          <w:lang w:val="en-US"/>
        </w:rPr>
        <w:t xml:space="preserve">Porter, T. M. (1996). </w:t>
      </w:r>
      <w:r w:rsidRPr="00DA7E42">
        <w:rPr>
          <w:i/>
          <w:iCs/>
          <w:lang w:val="en-US"/>
        </w:rPr>
        <w:t>Trust in numbers: The pursuit of objectivity in science and public life</w:t>
      </w:r>
      <w:r w:rsidRPr="00DA7E42">
        <w:rPr>
          <w:lang w:val="en-US"/>
        </w:rPr>
        <w:t xml:space="preserve">. Princeton University Press. </w:t>
      </w:r>
    </w:p>
    <w:p w14:paraId="592A6E3D" w14:textId="6C471D4A" w:rsidR="00DA7E42" w:rsidRPr="00DA7E42" w:rsidRDefault="00DA7E42" w:rsidP="00DA7E42">
      <w:pPr>
        <w:pStyle w:val="Bibliographie"/>
        <w:rPr>
          <w:lang w:val="en-US"/>
        </w:rPr>
      </w:pPr>
      <w:r>
        <w:t xml:space="preserve">Power, M. (1994). </w:t>
      </w:r>
      <w:r>
        <w:rPr>
          <w:i/>
          <w:iCs/>
        </w:rPr>
        <w:t>The audit explosion</w:t>
      </w:r>
      <w:r>
        <w:t xml:space="preserve">. Demos. </w:t>
      </w:r>
    </w:p>
    <w:p w14:paraId="4BD405E8" w14:textId="77777777" w:rsidR="00DA7E42" w:rsidRPr="00DA7E42" w:rsidRDefault="00DA7E42" w:rsidP="00DA7E42">
      <w:pPr>
        <w:pStyle w:val="Bibliographie"/>
        <w:rPr>
          <w:lang w:val="en-US"/>
        </w:rPr>
      </w:pPr>
      <w:r w:rsidRPr="00DA7E42">
        <w:rPr>
          <w:lang w:val="en-US"/>
        </w:rPr>
        <w:t xml:space="preserve">Radaelli, C. M. (1995). The role of knowledge in the policy process. </w:t>
      </w:r>
      <w:r w:rsidRPr="00DA7E42">
        <w:rPr>
          <w:i/>
          <w:iCs/>
          <w:lang w:val="en-US"/>
        </w:rPr>
        <w:t>Journal of European public policy</w:t>
      </w:r>
      <w:r w:rsidRPr="00DA7E42">
        <w:rPr>
          <w:lang w:val="en-US"/>
        </w:rPr>
        <w:t xml:space="preserve">, </w:t>
      </w:r>
      <w:r w:rsidRPr="00DA7E42">
        <w:rPr>
          <w:i/>
          <w:iCs/>
          <w:lang w:val="en-US"/>
        </w:rPr>
        <w:t>2</w:t>
      </w:r>
      <w:r w:rsidRPr="00DA7E42">
        <w:rPr>
          <w:lang w:val="en-US"/>
        </w:rPr>
        <w:t>(2), 159–183.</w:t>
      </w:r>
    </w:p>
    <w:p w14:paraId="1FF376C4" w14:textId="77777777" w:rsidR="00DA7E42" w:rsidRPr="00DA7E42" w:rsidRDefault="00DA7E42" w:rsidP="00DA7E42">
      <w:pPr>
        <w:pStyle w:val="Bibliographie"/>
        <w:rPr>
          <w:lang w:val="en-US"/>
        </w:rPr>
      </w:pPr>
      <w:r w:rsidRPr="00DA7E42">
        <w:rPr>
          <w:lang w:val="en-US"/>
        </w:rPr>
        <w:t xml:space="preserve">Raitzer, D. A., &amp; Ryan, J. G. (2008). State of the art in impact assessment of policy-oriented international agricultural research. </w:t>
      </w:r>
      <w:r w:rsidRPr="00DA7E42">
        <w:rPr>
          <w:i/>
          <w:iCs/>
          <w:lang w:val="en-US"/>
        </w:rPr>
        <w:t>Evidence &amp; Policy: A Journal of Research, Debate and Practice</w:t>
      </w:r>
      <w:r w:rsidRPr="00DA7E42">
        <w:rPr>
          <w:lang w:val="en-US"/>
        </w:rPr>
        <w:t xml:space="preserve">, </w:t>
      </w:r>
      <w:r w:rsidRPr="00DA7E42">
        <w:rPr>
          <w:i/>
          <w:iCs/>
          <w:lang w:val="en-US"/>
        </w:rPr>
        <w:t>4</w:t>
      </w:r>
      <w:r w:rsidRPr="00DA7E42">
        <w:rPr>
          <w:lang w:val="en-US"/>
        </w:rPr>
        <w:t>(1), 5–30.</w:t>
      </w:r>
    </w:p>
    <w:p w14:paraId="5A1FFCBE" w14:textId="77777777" w:rsidR="00DA7E42" w:rsidRPr="00DA7E42" w:rsidRDefault="00DA7E42" w:rsidP="00DA7E42">
      <w:pPr>
        <w:pStyle w:val="Bibliographie"/>
        <w:rPr>
          <w:lang w:val="en-US"/>
        </w:rPr>
      </w:pPr>
      <w:r w:rsidRPr="00DA7E42">
        <w:rPr>
          <w:lang w:val="en-US"/>
        </w:rPr>
        <w:t xml:space="preserve">Renkow, M., &amp; Byerlee, D. (2014). Assessing the Impact of Policy-Oriented Research: A Stocktaking. In </w:t>
      </w:r>
      <w:r w:rsidRPr="00DA7E42">
        <w:rPr>
          <w:i/>
          <w:iCs/>
          <w:lang w:val="en-US"/>
        </w:rPr>
        <w:t>Workshop on best practice methods for assessing the impact of policy-oriented research: summary and recommendations for the CGIAR</w:t>
      </w:r>
      <w:r w:rsidRPr="00DA7E42">
        <w:rPr>
          <w:lang w:val="en-US"/>
        </w:rPr>
        <w:t>. Washington D.C.</w:t>
      </w:r>
    </w:p>
    <w:p w14:paraId="182FE010" w14:textId="2DAA1B78" w:rsidR="00DA7E42" w:rsidRPr="00DA7E42" w:rsidRDefault="00DA7E42" w:rsidP="00DA7E42">
      <w:pPr>
        <w:pStyle w:val="Bibliographie"/>
        <w:rPr>
          <w:lang w:val="en-US"/>
        </w:rPr>
      </w:pPr>
      <w:r w:rsidRPr="00DA7E42">
        <w:rPr>
          <w:lang w:val="en-US"/>
        </w:rPr>
        <w:t xml:space="preserve">Ruegg, R., &amp; Feller, I. (2003). </w:t>
      </w:r>
      <w:r w:rsidRPr="00DA7E42">
        <w:rPr>
          <w:i/>
          <w:iCs/>
          <w:lang w:val="en-US"/>
        </w:rPr>
        <w:t>A Toolkit for Evaluating Public R&amp;D Investment: Models, Methods, and Findings from ATP’s First Decade.</w:t>
      </w:r>
      <w:r w:rsidRPr="00DA7E42">
        <w:rPr>
          <w:lang w:val="en-US"/>
        </w:rPr>
        <w:t xml:space="preserve"> (Grant/Contract Report). Gaithersburg: National Institute of Standards and Technology. </w:t>
      </w:r>
    </w:p>
    <w:p w14:paraId="7FB393E2" w14:textId="199EBF5A" w:rsidR="00DA7E42" w:rsidRPr="00DA7E42" w:rsidRDefault="00DA7E42" w:rsidP="00DA7E42">
      <w:pPr>
        <w:pStyle w:val="Bibliographie"/>
        <w:rPr>
          <w:lang w:val="en-US"/>
        </w:rPr>
      </w:pPr>
      <w:r>
        <w:t xml:space="preserve">Sabatier, P. A., &amp; Jenkins-Smith, H. C. (1993). </w:t>
      </w:r>
      <w:r w:rsidRPr="00DA7E42">
        <w:rPr>
          <w:i/>
          <w:iCs/>
          <w:lang w:val="en-US"/>
        </w:rPr>
        <w:t>Policy change over a decade or more</w:t>
      </w:r>
      <w:r w:rsidRPr="00DA7E42">
        <w:rPr>
          <w:lang w:val="en-US"/>
        </w:rPr>
        <w:t xml:space="preserve"> (Westview Press.). CO Boulder. </w:t>
      </w:r>
    </w:p>
    <w:p w14:paraId="273D4FA5" w14:textId="77777777" w:rsidR="00DA7E42" w:rsidRPr="00DA7E42" w:rsidRDefault="00DA7E42" w:rsidP="00DA7E42">
      <w:pPr>
        <w:pStyle w:val="Bibliographie"/>
        <w:rPr>
          <w:lang w:val="en-US"/>
        </w:rPr>
      </w:pPr>
      <w:r w:rsidRPr="00A4795F">
        <w:t xml:space="preserve">Samuel, G. N., &amp; Derrick, G. E. (2015). </w:t>
      </w:r>
      <w:r w:rsidRPr="00DA7E42">
        <w:rPr>
          <w:lang w:val="en-US"/>
        </w:rPr>
        <w:t xml:space="preserve">Societal impact evaluation: Exploring evaluator perceptions of the characterization of impact under the REF2014. </w:t>
      </w:r>
      <w:r w:rsidRPr="00DA7E42">
        <w:rPr>
          <w:i/>
          <w:iCs/>
          <w:lang w:val="en-US"/>
        </w:rPr>
        <w:t>Research evaluation</w:t>
      </w:r>
      <w:r w:rsidRPr="00DA7E42">
        <w:rPr>
          <w:lang w:val="en-US"/>
        </w:rPr>
        <w:t>, rvv007.</w:t>
      </w:r>
    </w:p>
    <w:p w14:paraId="7625413C" w14:textId="77777777" w:rsidR="00DA7E42" w:rsidRPr="00DA7E42" w:rsidRDefault="00DA7E42" w:rsidP="00DA7E42">
      <w:pPr>
        <w:pStyle w:val="Bibliographie"/>
        <w:rPr>
          <w:lang w:val="en-US"/>
        </w:rPr>
      </w:pPr>
      <w:r w:rsidRPr="00DA7E42">
        <w:rPr>
          <w:lang w:val="en-US"/>
        </w:rPr>
        <w:t xml:space="preserve">Spaapen, J. M., &amp; Van Drooge, L. (2011). Introducing ‘productive interactions’ in social assessment. </w:t>
      </w:r>
      <w:r w:rsidRPr="00DA7E42">
        <w:rPr>
          <w:i/>
          <w:iCs/>
          <w:lang w:val="en-US"/>
        </w:rPr>
        <w:t>Research Evaluation</w:t>
      </w:r>
      <w:r w:rsidRPr="00DA7E42">
        <w:rPr>
          <w:lang w:val="en-US"/>
        </w:rPr>
        <w:t xml:space="preserve">, </w:t>
      </w:r>
      <w:r w:rsidRPr="00DA7E42">
        <w:rPr>
          <w:i/>
          <w:iCs/>
          <w:lang w:val="en-US"/>
        </w:rPr>
        <w:t>20</w:t>
      </w:r>
      <w:r w:rsidRPr="00DA7E42">
        <w:rPr>
          <w:lang w:val="en-US"/>
        </w:rPr>
        <w:t>(3), 211</w:t>
      </w:r>
      <w:r w:rsidRPr="00DA7E42">
        <w:rPr>
          <w:rFonts w:ascii="MS Mincho" w:eastAsia="MS Mincho" w:hAnsi="MS Mincho" w:cs="MS Mincho" w:hint="eastAsia"/>
          <w:lang w:val="en-US"/>
        </w:rPr>
        <w:t>‑</w:t>
      </w:r>
      <w:r w:rsidRPr="00DA7E42">
        <w:rPr>
          <w:lang w:val="en-US"/>
        </w:rPr>
        <w:t>218.</w:t>
      </w:r>
    </w:p>
    <w:p w14:paraId="0E4481E7" w14:textId="7A1F91D2" w:rsidR="00DA7E42" w:rsidRPr="00DA7E42" w:rsidRDefault="00DA7E42" w:rsidP="00DA7E42">
      <w:pPr>
        <w:pStyle w:val="Bibliographie"/>
        <w:rPr>
          <w:lang w:val="en-US"/>
        </w:rPr>
      </w:pPr>
      <w:r w:rsidRPr="00DA7E42">
        <w:rPr>
          <w:lang w:val="en-US"/>
        </w:rPr>
        <w:t xml:space="preserve">Stirling, A. (1997). Multicriteria Mapping: mitigating the problems of environmental valuation? In </w:t>
      </w:r>
      <w:r w:rsidRPr="00DA7E42">
        <w:rPr>
          <w:i/>
          <w:iCs/>
          <w:lang w:val="en-US"/>
        </w:rPr>
        <w:t>Valuing Nature?: Economics, ethics and environment.</w:t>
      </w:r>
      <w:r w:rsidRPr="00DA7E42">
        <w:rPr>
          <w:lang w:val="en-US"/>
        </w:rPr>
        <w:t xml:space="preserve"> (Routledge.). London: J. Foster. </w:t>
      </w:r>
    </w:p>
    <w:p w14:paraId="75382BFE" w14:textId="77777777" w:rsidR="00DA7E42" w:rsidRPr="00DA7E42" w:rsidRDefault="00DA7E42" w:rsidP="00DA7E42">
      <w:pPr>
        <w:pStyle w:val="Bibliographie"/>
        <w:rPr>
          <w:lang w:val="en-US"/>
        </w:rPr>
      </w:pPr>
      <w:r w:rsidRPr="00DA7E42">
        <w:rPr>
          <w:lang w:val="en-US"/>
        </w:rPr>
        <w:t xml:space="preserve">Trostle, J., Bronfman, M., &amp; Langer, A. (1999). How do researchers influence decision-makers? Case studies of Mexican policies. </w:t>
      </w:r>
      <w:r w:rsidRPr="00DA7E42">
        <w:rPr>
          <w:i/>
          <w:iCs/>
          <w:lang w:val="en-US"/>
        </w:rPr>
        <w:t>Health policy and planning</w:t>
      </w:r>
      <w:r w:rsidRPr="00DA7E42">
        <w:rPr>
          <w:lang w:val="en-US"/>
        </w:rPr>
        <w:t xml:space="preserve">, </w:t>
      </w:r>
      <w:r w:rsidRPr="00DA7E42">
        <w:rPr>
          <w:i/>
          <w:iCs/>
          <w:lang w:val="en-US"/>
        </w:rPr>
        <w:t>14</w:t>
      </w:r>
      <w:r w:rsidRPr="00DA7E42">
        <w:rPr>
          <w:lang w:val="en-US"/>
        </w:rPr>
        <w:t>(2), 103–114.</w:t>
      </w:r>
    </w:p>
    <w:p w14:paraId="06FCAE81" w14:textId="282A12FC" w:rsidR="00DA7E42" w:rsidRPr="00DA7E42" w:rsidRDefault="00DA7E42" w:rsidP="00DA7E42">
      <w:pPr>
        <w:pStyle w:val="Bibliographie"/>
        <w:rPr>
          <w:lang w:val="en-US"/>
        </w:rPr>
      </w:pPr>
      <w:r w:rsidRPr="00DA7E42">
        <w:rPr>
          <w:lang w:val="en-US"/>
        </w:rPr>
        <w:t xml:space="preserve">Tsui, J., Hearn, S., &amp; Young, J. (2014). </w:t>
      </w:r>
      <w:r w:rsidRPr="00DA7E42">
        <w:rPr>
          <w:i/>
          <w:iCs/>
          <w:lang w:val="en-US"/>
        </w:rPr>
        <w:t>Monitoring and evaluation of policy influence and advocacy</w:t>
      </w:r>
      <w:r w:rsidRPr="00DA7E42">
        <w:rPr>
          <w:lang w:val="en-US"/>
        </w:rPr>
        <w:t xml:space="preserve"> (Working paper No. 395) (p. 90). London: Overseas Development Institute. </w:t>
      </w:r>
    </w:p>
    <w:p w14:paraId="26BF4EAD" w14:textId="77777777" w:rsidR="00DA7E42" w:rsidRPr="00DA7E42" w:rsidRDefault="00DA7E42" w:rsidP="00DA7E42">
      <w:pPr>
        <w:pStyle w:val="Bibliographie"/>
        <w:rPr>
          <w:lang w:val="en-US"/>
        </w:rPr>
      </w:pPr>
      <w:r w:rsidRPr="00DA7E42">
        <w:rPr>
          <w:lang w:val="en-US"/>
        </w:rPr>
        <w:t xml:space="preserve">Weiss, C. H. (1977). Research for policy’s sake: The enlightenment function of social research. </w:t>
      </w:r>
      <w:r w:rsidRPr="00DA7E42">
        <w:rPr>
          <w:i/>
          <w:iCs/>
          <w:lang w:val="en-US"/>
        </w:rPr>
        <w:t>Policy analysis</w:t>
      </w:r>
      <w:r w:rsidRPr="00DA7E42">
        <w:rPr>
          <w:lang w:val="en-US"/>
        </w:rPr>
        <w:t>, 531–545.</w:t>
      </w:r>
    </w:p>
    <w:p w14:paraId="143A0516" w14:textId="77777777" w:rsidR="00DA7E42" w:rsidRPr="00DA7E42" w:rsidRDefault="00DA7E42" w:rsidP="00DA7E42">
      <w:pPr>
        <w:pStyle w:val="Bibliographie"/>
        <w:rPr>
          <w:lang w:val="en-US"/>
        </w:rPr>
      </w:pPr>
      <w:r w:rsidRPr="00DA7E42">
        <w:rPr>
          <w:lang w:val="en-US"/>
        </w:rPr>
        <w:t xml:space="preserve">Weiss, C. H. (1979). The Many Meanings of Research Utilization. </w:t>
      </w:r>
      <w:r w:rsidRPr="00DA7E42">
        <w:rPr>
          <w:i/>
          <w:iCs/>
          <w:lang w:val="en-US"/>
        </w:rPr>
        <w:t>Public Administration Review</w:t>
      </w:r>
      <w:r w:rsidRPr="00DA7E42">
        <w:rPr>
          <w:lang w:val="en-US"/>
        </w:rPr>
        <w:t xml:space="preserve">, </w:t>
      </w:r>
      <w:r w:rsidRPr="00DA7E42">
        <w:rPr>
          <w:i/>
          <w:iCs/>
          <w:lang w:val="en-US"/>
        </w:rPr>
        <w:t>39</w:t>
      </w:r>
      <w:r w:rsidRPr="00DA7E42">
        <w:rPr>
          <w:lang w:val="en-US"/>
        </w:rPr>
        <w:t>(5), 426</w:t>
      </w:r>
      <w:r w:rsidRPr="00DA7E42">
        <w:rPr>
          <w:rFonts w:ascii="MS Mincho" w:eastAsia="MS Mincho" w:hAnsi="MS Mincho" w:cs="MS Mincho" w:hint="eastAsia"/>
          <w:lang w:val="en-US"/>
        </w:rPr>
        <w:t>‑</w:t>
      </w:r>
      <w:r w:rsidRPr="00DA7E42">
        <w:rPr>
          <w:lang w:val="en-US"/>
        </w:rPr>
        <w:t>431. doi:10.2307/3109916</w:t>
      </w:r>
    </w:p>
    <w:p w14:paraId="10E1E65A" w14:textId="77777777" w:rsidR="00DA7E42" w:rsidRPr="00DA7E42" w:rsidRDefault="00DA7E42" w:rsidP="00DA7E42">
      <w:pPr>
        <w:pStyle w:val="Bibliographie"/>
        <w:rPr>
          <w:lang w:val="en-US"/>
        </w:rPr>
      </w:pPr>
      <w:r w:rsidRPr="00DA7E42">
        <w:rPr>
          <w:lang w:val="en-US"/>
        </w:rPr>
        <w:t xml:space="preserve">Weiss, C. H. (1980). Knowledge creep and decision accretion. </w:t>
      </w:r>
      <w:r w:rsidRPr="00DA7E42">
        <w:rPr>
          <w:i/>
          <w:iCs/>
          <w:lang w:val="en-US"/>
        </w:rPr>
        <w:t>Science Communication</w:t>
      </w:r>
      <w:r w:rsidRPr="00DA7E42">
        <w:rPr>
          <w:lang w:val="en-US"/>
        </w:rPr>
        <w:t xml:space="preserve">, </w:t>
      </w:r>
      <w:r w:rsidRPr="00DA7E42">
        <w:rPr>
          <w:i/>
          <w:iCs/>
          <w:lang w:val="en-US"/>
        </w:rPr>
        <w:t>1</w:t>
      </w:r>
      <w:r w:rsidRPr="00DA7E42">
        <w:rPr>
          <w:lang w:val="en-US"/>
        </w:rPr>
        <w:t>(3), 381–404.</w:t>
      </w:r>
    </w:p>
    <w:p w14:paraId="31199C21" w14:textId="71272463" w:rsidR="00A17FE9" w:rsidRPr="008173C7" w:rsidRDefault="00DA7E42" w:rsidP="00A4795F">
      <w:pPr>
        <w:pStyle w:val="Bibliographie"/>
        <w:rPr>
          <w:rFonts w:cs="Times New Roman"/>
          <w:lang w:val="en-US"/>
        </w:rPr>
      </w:pPr>
      <w:r w:rsidRPr="00DA7E42">
        <w:rPr>
          <w:lang w:val="en-US"/>
        </w:rPr>
        <w:t xml:space="preserve">Wooding, S., Hanney, S. R., Pollitt, A., Grant, J., &amp; Buxton, M. J. (2014). Understanding factors associated with the translation of cardiovascular research: a multinational case study approach. </w:t>
      </w:r>
      <w:r>
        <w:rPr>
          <w:i/>
          <w:iCs/>
        </w:rPr>
        <w:t>Implementation Science</w:t>
      </w:r>
      <w:r>
        <w:t xml:space="preserve">, </w:t>
      </w:r>
      <w:r>
        <w:rPr>
          <w:i/>
          <w:iCs/>
        </w:rPr>
        <w:t>9</w:t>
      </w:r>
      <w:r>
        <w:t>(1), 47. doi:10.1186/1748-5908-9-47</w:t>
      </w:r>
    </w:p>
    <w:sectPr w:rsidR="00A17FE9" w:rsidRPr="008173C7" w:rsidSect="00B35A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B134" w14:textId="77777777" w:rsidR="0016494E" w:rsidRDefault="0016494E" w:rsidP="00F3792C">
      <w:pPr>
        <w:spacing w:after="0" w:line="240" w:lineRule="auto"/>
      </w:pPr>
      <w:r>
        <w:separator/>
      </w:r>
    </w:p>
  </w:endnote>
  <w:endnote w:type="continuationSeparator" w:id="0">
    <w:p w14:paraId="5FA10E9E" w14:textId="77777777" w:rsidR="0016494E" w:rsidRDefault="0016494E" w:rsidP="00F3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altName w:val="Times New Roman"/>
    <w:panose1 w:val="02040503050406030204"/>
    <w:charset w:val="00"/>
    <w:family w:val="roman"/>
    <w:pitch w:val="variable"/>
    <w:sig w:usb0="00000001"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089041"/>
      <w:docPartObj>
        <w:docPartGallery w:val="Page Numbers (Bottom of Page)"/>
        <w:docPartUnique/>
      </w:docPartObj>
    </w:sdtPr>
    <w:sdtEndPr/>
    <w:sdtContent>
      <w:p w14:paraId="385B8F33" w14:textId="7D3738D5" w:rsidR="0016494E" w:rsidRDefault="0016494E">
        <w:pPr>
          <w:pStyle w:val="Pieddepage"/>
          <w:jc w:val="right"/>
        </w:pPr>
        <w:r>
          <w:fldChar w:fldCharType="begin"/>
        </w:r>
        <w:r>
          <w:instrText>PAGE   \* MERGEFORMAT</w:instrText>
        </w:r>
        <w:r>
          <w:fldChar w:fldCharType="separate"/>
        </w:r>
        <w:r w:rsidR="00860528">
          <w:rPr>
            <w:noProof/>
          </w:rPr>
          <w:t>1</w:t>
        </w:r>
        <w:r>
          <w:rPr>
            <w:noProof/>
          </w:rPr>
          <w:fldChar w:fldCharType="end"/>
        </w:r>
      </w:p>
    </w:sdtContent>
  </w:sdt>
  <w:p w14:paraId="2B916CB9" w14:textId="77777777" w:rsidR="0016494E" w:rsidRDefault="001649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787C" w14:textId="77777777" w:rsidR="0016494E" w:rsidRDefault="0016494E" w:rsidP="00F3792C">
      <w:pPr>
        <w:spacing w:after="0" w:line="240" w:lineRule="auto"/>
      </w:pPr>
      <w:r>
        <w:separator/>
      </w:r>
    </w:p>
  </w:footnote>
  <w:footnote w:type="continuationSeparator" w:id="0">
    <w:p w14:paraId="24C532CF" w14:textId="77777777" w:rsidR="0016494E" w:rsidRDefault="0016494E" w:rsidP="00F3792C">
      <w:pPr>
        <w:spacing w:after="0" w:line="240" w:lineRule="auto"/>
      </w:pPr>
      <w:r>
        <w:continuationSeparator/>
      </w:r>
    </w:p>
  </w:footnote>
  <w:footnote w:id="1">
    <w:p w14:paraId="412F2920" w14:textId="14E24661" w:rsidR="0016494E" w:rsidRPr="00790158" w:rsidRDefault="0016494E" w:rsidP="00FB1F73">
      <w:pPr>
        <w:rPr>
          <w:lang w:val="en-US"/>
        </w:rPr>
      </w:pPr>
      <w:r>
        <w:rPr>
          <w:rStyle w:val="Appelnotedebasdep"/>
        </w:rPr>
        <w:footnoteRef/>
      </w:r>
      <w:r w:rsidRPr="00790158">
        <w:rPr>
          <w:lang w:val="en-US"/>
        </w:rPr>
        <w:t xml:space="preserve"> This title makes an implicit reference to the famous quote (unduly) attributed to Albert Einstein : </w:t>
      </w:r>
      <w:r w:rsidRPr="00EE5617">
        <w:rPr>
          <w:lang w:val="en-GB"/>
        </w:rPr>
        <w:t>“Not everyth</w:t>
      </w:r>
      <w:r>
        <w:rPr>
          <w:lang w:val="en-GB"/>
        </w:rPr>
        <w:t>ing that can be counted counts,</w:t>
      </w:r>
      <w:r w:rsidRPr="00790158">
        <w:rPr>
          <w:lang w:val="en-US"/>
        </w:rPr>
        <w:t xml:space="preserve"> </w:t>
      </w:r>
      <w:r w:rsidRPr="00EE5617">
        <w:rPr>
          <w:lang w:val="en-GB"/>
        </w:rPr>
        <w:t>and not everything that counts can be counted.”</w:t>
      </w:r>
    </w:p>
  </w:footnote>
  <w:footnote w:id="2">
    <w:p w14:paraId="33E9D1EB" w14:textId="06F6F55F" w:rsidR="0016494E" w:rsidRPr="001726C0" w:rsidRDefault="0016494E" w:rsidP="00712017">
      <w:pPr>
        <w:pStyle w:val="Notedebasdepage"/>
        <w:rPr>
          <w:lang w:val="en-US"/>
        </w:rPr>
      </w:pPr>
      <w:r>
        <w:rPr>
          <w:rStyle w:val="Appelnotedebasdep"/>
        </w:rPr>
        <w:footnoteRef/>
      </w:r>
      <w:r w:rsidRPr="001726C0">
        <w:rPr>
          <w:lang w:val="en-US"/>
        </w:rPr>
        <w:t xml:space="preserve"> Payback, Research Impact Framework, Canadian </w:t>
      </w:r>
      <w:r w:rsidRPr="002611B0">
        <w:rPr>
          <w:lang w:val="en-US"/>
        </w:rPr>
        <w:t>Academy of Health Sciences, M</w:t>
      </w:r>
      <w:r w:rsidRPr="001726C0">
        <w:rPr>
          <w:lang w:val="en-US"/>
        </w:rPr>
        <w:t>oneti</w:t>
      </w:r>
      <w:r>
        <w:rPr>
          <w:lang w:val="en-US"/>
        </w:rPr>
        <w:t>z</w:t>
      </w:r>
      <w:r w:rsidRPr="001726C0">
        <w:rPr>
          <w:lang w:val="en-US"/>
        </w:rPr>
        <w:t>ation</w:t>
      </w:r>
      <w:r w:rsidRPr="003C6915">
        <w:rPr>
          <w:lang w:val="en-US"/>
        </w:rPr>
        <w:t xml:space="preserve">. </w:t>
      </w:r>
      <w:r>
        <w:rPr>
          <w:lang w:val="en-US"/>
        </w:rPr>
        <w:t>The author later added the REF, which is used widely but postdated the review.</w:t>
      </w:r>
    </w:p>
  </w:footnote>
  <w:footnote w:id="3">
    <w:p w14:paraId="616011D8" w14:textId="77777777" w:rsidR="0016494E" w:rsidRPr="00653F14" w:rsidRDefault="0016494E" w:rsidP="00AB396E">
      <w:pPr>
        <w:pStyle w:val="Notedebasdepage"/>
        <w:rPr>
          <w:lang w:val="en-US"/>
        </w:rPr>
      </w:pPr>
      <w:r>
        <w:rPr>
          <w:rStyle w:val="Appelnotedebasdep"/>
        </w:rPr>
        <w:footnoteRef/>
      </w:r>
      <w:r w:rsidRPr="00653F14">
        <w:rPr>
          <w:lang w:val="en-US"/>
        </w:rPr>
        <w:t xml:space="preserve"> </w:t>
      </w:r>
      <w:r w:rsidRPr="00A02D8D">
        <w:rPr>
          <w:lang w:val="en-US"/>
        </w:rPr>
        <w:t>Fire Paradox: integrated European project on the management of forest fires</w:t>
      </w:r>
      <w:r>
        <w:rPr>
          <w:lang w:val="en-US"/>
        </w:rPr>
        <w:t xml:space="preserve">, </w:t>
      </w:r>
      <w:r w:rsidRPr="00A02D8D">
        <w:rPr>
          <w:lang w:val="en-US"/>
        </w:rPr>
        <w:t>Collective scientific advice</w:t>
      </w:r>
      <w:r>
        <w:rPr>
          <w:lang w:val="en-US"/>
        </w:rPr>
        <w:t xml:space="preserve"> on </w:t>
      </w:r>
      <w:r w:rsidRPr="00A02D8D">
        <w:rPr>
          <w:lang w:val="en-US"/>
        </w:rPr>
        <w:t>Pesticides</w:t>
      </w:r>
      <w:r>
        <w:rPr>
          <w:lang w:val="en-US"/>
        </w:rPr>
        <w:t xml:space="preserve">; </w:t>
      </w:r>
      <w:r w:rsidRPr="00A02D8D">
        <w:rPr>
          <w:lang w:val="en-US"/>
        </w:rPr>
        <w:t>Supporting conservation policies f</w:t>
      </w:r>
      <w:r>
        <w:rPr>
          <w:lang w:val="en-US"/>
        </w:rPr>
        <w:t xml:space="preserve">or Atlantic salmon: catch quotas; Alert on Bisphenol A; </w:t>
      </w:r>
      <w:r w:rsidRPr="00A02D8D">
        <w:rPr>
          <w:lang w:val="en-US"/>
        </w:rPr>
        <w:t>A genetic approach to fight</w:t>
      </w:r>
      <w:r>
        <w:rPr>
          <w:lang w:val="en-US"/>
        </w:rPr>
        <w:t>ing</w:t>
      </w:r>
      <w:r w:rsidRPr="00A02D8D">
        <w:rPr>
          <w:lang w:val="en-US"/>
        </w:rPr>
        <w:t xml:space="preserve"> scrapie in sheep</w:t>
      </w:r>
      <w:r>
        <w:rPr>
          <w:lang w:val="en-US"/>
        </w:rPr>
        <w:t xml:space="preserve">. A summary of these 30 page case study reports is available at: </w:t>
      </w:r>
      <w:r w:rsidRPr="00A02D8D">
        <w:rPr>
          <w:lang w:val="en-US"/>
        </w:rPr>
        <w:t>http://www6.inra.fr/asirpa_eng/Method-and-Cases/Case-studies </w:t>
      </w:r>
    </w:p>
  </w:footnote>
  <w:footnote w:id="4">
    <w:p w14:paraId="6562BCD4" w14:textId="50EC9006" w:rsidR="0016494E" w:rsidRPr="003A1C70" w:rsidRDefault="0016494E" w:rsidP="003A1C70">
      <w:pPr>
        <w:rPr>
          <w:rFonts w:cs="Times New Roman"/>
          <w:lang w:val="en-US"/>
        </w:rPr>
      </w:pPr>
      <w:r w:rsidRPr="00336703">
        <w:rPr>
          <w:rStyle w:val="Appelnotedebasdep"/>
          <w:rFonts w:cs="Times New Roman"/>
        </w:rPr>
        <w:footnoteRef/>
      </w:r>
      <w:r w:rsidRPr="00336703">
        <w:rPr>
          <w:rFonts w:cs="Times New Roman"/>
          <w:lang w:val="en-US"/>
        </w:rPr>
        <w:t xml:space="preserve"> </w:t>
      </w:r>
      <w:r w:rsidRPr="00841D7A">
        <w:rPr>
          <w:rFonts w:cs="Times New Roman"/>
          <w:szCs w:val="20"/>
          <w:lang w:val="en-US"/>
        </w:rPr>
        <w:t xml:space="preserve">Another method called order 1 statistical dominance was used to triangulate the Condorcet method. It yielded initially coherent information for </w:t>
      </w:r>
      <w:r>
        <w:rPr>
          <w:rFonts w:cs="Times New Roman"/>
          <w:szCs w:val="20"/>
          <w:lang w:val="en-US"/>
        </w:rPr>
        <w:t xml:space="preserve">the case study </w:t>
      </w:r>
      <w:r w:rsidRPr="00841D7A">
        <w:rPr>
          <w:rFonts w:cs="Times New Roman"/>
          <w:szCs w:val="20"/>
          <w:lang w:val="en-US"/>
        </w:rPr>
        <w:t>ordering.</w:t>
      </w:r>
      <w:r w:rsidRPr="00841D7A">
        <w:rPr>
          <w:rFonts w:cs="Times New Roman"/>
          <w:color w:val="0070C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2896" w14:textId="4FF52B59" w:rsidR="00842F67" w:rsidRPr="00842F67" w:rsidRDefault="00842F67">
    <w:pPr>
      <w:pStyle w:val="En-tte"/>
      <w:rPr>
        <w:lang w:val="en-US"/>
      </w:rPr>
    </w:pPr>
    <w:r w:rsidRPr="00842F67">
      <w:rPr>
        <w:lang w:val="en-US"/>
      </w:rPr>
      <w:t>Paper submitted to Journal of Technology Transfer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1F4"/>
    <w:multiLevelType w:val="multilevel"/>
    <w:tmpl w:val="6F1E54FC"/>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FC07F7"/>
    <w:multiLevelType w:val="hybridMultilevel"/>
    <w:tmpl w:val="9046397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17FCE"/>
    <w:multiLevelType w:val="hybridMultilevel"/>
    <w:tmpl w:val="A16642DC"/>
    <w:lvl w:ilvl="0" w:tplc="4328BFFC">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D160F1"/>
    <w:multiLevelType w:val="multilevel"/>
    <w:tmpl w:val="6F1E54FC"/>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25716E"/>
    <w:multiLevelType w:val="hybridMultilevel"/>
    <w:tmpl w:val="5C1E5E42"/>
    <w:lvl w:ilvl="0" w:tplc="9836C7A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030D91"/>
    <w:multiLevelType w:val="hybridMultilevel"/>
    <w:tmpl w:val="C3E6C81E"/>
    <w:lvl w:ilvl="0" w:tplc="B076253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134BC2"/>
    <w:multiLevelType w:val="hybridMultilevel"/>
    <w:tmpl w:val="1804C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208B3"/>
    <w:multiLevelType w:val="hybridMultilevel"/>
    <w:tmpl w:val="C1683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E0453E"/>
    <w:multiLevelType w:val="hybridMultilevel"/>
    <w:tmpl w:val="3CD65802"/>
    <w:lvl w:ilvl="0" w:tplc="2ED4C58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89222C"/>
    <w:multiLevelType w:val="hybridMultilevel"/>
    <w:tmpl w:val="FC54C1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3A6A66"/>
    <w:multiLevelType w:val="hybridMultilevel"/>
    <w:tmpl w:val="379A92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251D91"/>
    <w:multiLevelType w:val="hybridMultilevel"/>
    <w:tmpl w:val="DC066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3E677E"/>
    <w:multiLevelType w:val="hybridMultilevel"/>
    <w:tmpl w:val="4B928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AC02AB"/>
    <w:multiLevelType w:val="hybridMultilevel"/>
    <w:tmpl w:val="3B00C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894DB5"/>
    <w:multiLevelType w:val="hybridMultilevel"/>
    <w:tmpl w:val="9CFE3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1651D0"/>
    <w:multiLevelType w:val="hybridMultilevel"/>
    <w:tmpl w:val="6E926994"/>
    <w:lvl w:ilvl="0" w:tplc="D5B068A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A44B4E"/>
    <w:multiLevelType w:val="hybridMultilevel"/>
    <w:tmpl w:val="2D52FEB4"/>
    <w:lvl w:ilvl="0" w:tplc="8DD24F8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5D2A26"/>
    <w:multiLevelType w:val="hybridMultilevel"/>
    <w:tmpl w:val="37E80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2220B1"/>
    <w:multiLevelType w:val="hybridMultilevel"/>
    <w:tmpl w:val="062AFA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AB2E8F"/>
    <w:multiLevelType w:val="multilevel"/>
    <w:tmpl w:val="CC963E88"/>
    <w:lvl w:ilvl="0">
      <w:start w:val="4"/>
      <w:numFmt w:val="decimal"/>
      <w:lvlText w:val="%1"/>
      <w:lvlJc w:val="left"/>
      <w:pPr>
        <w:ind w:left="480" w:hanging="480"/>
      </w:pPr>
      <w:rPr>
        <w:rFonts w:hint="default"/>
      </w:rPr>
    </w:lvl>
    <w:lvl w:ilvl="1">
      <w:start w:val="2"/>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0" w15:restartNumberingAfterBreak="0">
    <w:nsid w:val="77EE487B"/>
    <w:multiLevelType w:val="hybridMultilevel"/>
    <w:tmpl w:val="D4B4B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1878C2"/>
    <w:multiLevelType w:val="multilevel"/>
    <w:tmpl w:val="0D3C3AAA"/>
    <w:lvl w:ilvl="0">
      <w:start w:val="4"/>
      <w:numFmt w:val="decimal"/>
      <w:lvlText w:val="%1."/>
      <w:lvlJc w:val="left"/>
      <w:pPr>
        <w:ind w:left="390" w:hanging="39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7D2377E6"/>
    <w:multiLevelType w:val="hybridMultilevel"/>
    <w:tmpl w:val="21F66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B3661C"/>
    <w:multiLevelType w:val="hybridMultilevel"/>
    <w:tmpl w:val="4F2A778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6"/>
  </w:num>
  <w:num w:numId="5">
    <w:abstractNumId w:val="12"/>
  </w:num>
  <w:num w:numId="6">
    <w:abstractNumId w:val="11"/>
  </w:num>
  <w:num w:numId="7">
    <w:abstractNumId w:val="10"/>
  </w:num>
  <w:num w:numId="8">
    <w:abstractNumId w:val="20"/>
  </w:num>
  <w:num w:numId="9">
    <w:abstractNumId w:val="22"/>
  </w:num>
  <w:num w:numId="10">
    <w:abstractNumId w:val="15"/>
  </w:num>
  <w:num w:numId="11">
    <w:abstractNumId w:val="4"/>
  </w:num>
  <w:num w:numId="12">
    <w:abstractNumId w:val="1"/>
  </w:num>
  <w:num w:numId="13">
    <w:abstractNumId w:val="3"/>
  </w:num>
  <w:num w:numId="14">
    <w:abstractNumId w:val="5"/>
  </w:num>
  <w:num w:numId="15">
    <w:abstractNumId w:val="18"/>
  </w:num>
  <w:num w:numId="16">
    <w:abstractNumId w:val="7"/>
  </w:num>
  <w:num w:numId="17">
    <w:abstractNumId w:val="16"/>
  </w:num>
  <w:num w:numId="18">
    <w:abstractNumId w:val="23"/>
  </w:num>
  <w:num w:numId="19">
    <w:abstractNumId w:val="8"/>
  </w:num>
  <w:num w:numId="20">
    <w:abstractNumId w:val="2"/>
  </w:num>
  <w:num w:numId="21">
    <w:abstractNumId w:val="0"/>
  </w:num>
  <w:num w:numId="22">
    <w:abstractNumId w:val="21"/>
  </w:num>
  <w:num w:numId="23">
    <w:abstractNumId w:val="19"/>
  </w:num>
  <w:num w:numId="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6E"/>
    <w:rsid w:val="0000074F"/>
    <w:rsid w:val="000007A5"/>
    <w:rsid w:val="00001248"/>
    <w:rsid w:val="00001CDA"/>
    <w:rsid w:val="000021EB"/>
    <w:rsid w:val="00002CA9"/>
    <w:rsid w:val="0000358F"/>
    <w:rsid w:val="00003EA0"/>
    <w:rsid w:val="000040D6"/>
    <w:rsid w:val="00004425"/>
    <w:rsid w:val="000064CC"/>
    <w:rsid w:val="000107A3"/>
    <w:rsid w:val="000112DF"/>
    <w:rsid w:val="00011A80"/>
    <w:rsid w:val="000128B0"/>
    <w:rsid w:val="0001327D"/>
    <w:rsid w:val="0001362E"/>
    <w:rsid w:val="0001369D"/>
    <w:rsid w:val="00013E76"/>
    <w:rsid w:val="000144D5"/>
    <w:rsid w:val="00015FDC"/>
    <w:rsid w:val="000160E7"/>
    <w:rsid w:val="000164A2"/>
    <w:rsid w:val="000177E6"/>
    <w:rsid w:val="00020A1A"/>
    <w:rsid w:val="00020ABB"/>
    <w:rsid w:val="00020C06"/>
    <w:rsid w:val="00020C1F"/>
    <w:rsid w:val="00021195"/>
    <w:rsid w:val="0002141C"/>
    <w:rsid w:val="00021562"/>
    <w:rsid w:val="00021BB9"/>
    <w:rsid w:val="00024251"/>
    <w:rsid w:val="00024D64"/>
    <w:rsid w:val="000256BC"/>
    <w:rsid w:val="00025BA3"/>
    <w:rsid w:val="0002609B"/>
    <w:rsid w:val="000260B9"/>
    <w:rsid w:val="000279A7"/>
    <w:rsid w:val="00027E76"/>
    <w:rsid w:val="00027E92"/>
    <w:rsid w:val="0003033E"/>
    <w:rsid w:val="00030C2B"/>
    <w:rsid w:val="0003314F"/>
    <w:rsid w:val="00033DAA"/>
    <w:rsid w:val="000340DB"/>
    <w:rsid w:val="00035A2D"/>
    <w:rsid w:val="00035A9C"/>
    <w:rsid w:val="0003648A"/>
    <w:rsid w:val="00036F46"/>
    <w:rsid w:val="00037BFC"/>
    <w:rsid w:val="000401BB"/>
    <w:rsid w:val="00040392"/>
    <w:rsid w:val="00040734"/>
    <w:rsid w:val="000417CB"/>
    <w:rsid w:val="00043BFD"/>
    <w:rsid w:val="00044023"/>
    <w:rsid w:val="000440E4"/>
    <w:rsid w:val="000440ED"/>
    <w:rsid w:val="000444E9"/>
    <w:rsid w:val="00045A5F"/>
    <w:rsid w:val="00046019"/>
    <w:rsid w:val="00046434"/>
    <w:rsid w:val="000468F5"/>
    <w:rsid w:val="00046936"/>
    <w:rsid w:val="000476DA"/>
    <w:rsid w:val="000478E7"/>
    <w:rsid w:val="00047E5B"/>
    <w:rsid w:val="000503E1"/>
    <w:rsid w:val="000507F8"/>
    <w:rsid w:val="00051867"/>
    <w:rsid w:val="00051D90"/>
    <w:rsid w:val="000522B8"/>
    <w:rsid w:val="00053147"/>
    <w:rsid w:val="00053AAC"/>
    <w:rsid w:val="00054A5D"/>
    <w:rsid w:val="000553A4"/>
    <w:rsid w:val="000559A1"/>
    <w:rsid w:val="00057B9B"/>
    <w:rsid w:val="00057E67"/>
    <w:rsid w:val="0006002F"/>
    <w:rsid w:val="0006034A"/>
    <w:rsid w:val="00062E31"/>
    <w:rsid w:val="00064348"/>
    <w:rsid w:val="0006516C"/>
    <w:rsid w:val="000659CB"/>
    <w:rsid w:val="000662C5"/>
    <w:rsid w:val="00066A5B"/>
    <w:rsid w:val="00067C55"/>
    <w:rsid w:val="0007066F"/>
    <w:rsid w:val="00070939"/>
    <w:rsid w:val="00071015"/>
    <w:rsid w:val="00071641"/>
    <w:rsid w:val="00071832"/>
    <w:rsid w:val="00071D27"/>
    <w:rsid w:val="00073119"/>
    <w:rsid w:val="0007527B"/>
    <w:rsid w:val="000755A6"/>
    <w:rsid w:val="000756F5"/>
    <w:rsid w:val="000758F7"/>
    <w:rsid w:val="00075CBC"/>
    <w:rsid w:val="000768BC"/>
    <w:rsid w:val="00076D1B"/>
    <w:rsid w:val="000777D2"/>
    <w:rsid w:val="000779FC"/>
    <w:rsid w:val="00080E2C"/>
    <w:rsid w:val="00081392"/>
    <w:rsid w:val="000817F9"/>
    <w:rsid w:val="00082A95"/>
    <w:rsid w:val="0008479D"/>
    <w:rsid w:val="00085440"/>
    <w:rsid w:val="00087580"/>
    <w:rsid w:val="000878F5"/>
    <w:rsid w:val="00087D96"/>
    <w:rsid w:val="00091439"/>
    <w:rsid w:val="00092D88"/>
    <w:rsid w:val="000934A0"/>
    <w:rsid w:val="00093529"/>
    <w:rsid w:val="00093975"/>
    <w:rsid w:val="00094B70"/>
    <w:rsid w:val="00095243"/>
    <w:rsid w:val="000960DC"/>
    <w:rsid w:val="00096C0C"/>
    <w:rsid w:val="0009774E"/>
    <w:rsid w:val="000A0602"/>
    <w:rsid w:val="000A0F7A"/>
    <w:rsid w:val="000A1B81"/>
    <w:rsid w:val="000A4185"/>
    <w:rsid w:val="000A560F"/>
    <w:rsid w:val="000A6607"/>
    <w:rsid w:val="000A78FD"/>
    <w:rsid w:val="000A7C6C"/>
    <w:rsid w:val="000B032B"/>
    <w:rsid w:val="000B20AE"/>
    <w:rsid w:val="000B2127"/>
    <w:rsid w:val="000B24B1"/>
    <w:rsid w:val="000B2952"/>
    <w:rsid w:val="000B3DE8"/>
    <w:rsid w:val="000B4051"/>
    <w:rsid w:val="000B4A5C"/>
    <w:rsid w:val="000B58D5"/>
    <w:rsid w:val="000B58EE"/>
    <w:rsid w:val="000B5E2C"/>
    <w:rsid w:val="000B7D64"/>
    <w:rsid w:val="000B7DD4"/>
    <w:rsid w:val="000C149B"/>
    <w:rsid w:val="000C2441"/>
    <w:rsid w:val="000C29AA"/>
    <w:rsid w:val="000C42D3"/>
    <w:rsid w:val="000C4551"/>
    <w:rsid w:val="000C4945"/>
    <w:rsid w:val="000C4D86"/>
    <w:rsid w:val="000C65A5"/>
    <w:rsid w:val="000C6609"/>
    <w:rsid w:val="000C7D5B"/>
    <w:rsid w:val="000C7DD8"/>
    <w:rsid w:val="000D09CC"/>
    <w:rsid w:val="000D1740"/>
    <w:rsid w:val="000D2C0D"/>
    <w:rsid w:val="000D2FD9"/>
    <w:rsid w:val="000D3470"/>
    <w:rsid w:val="000D3BC8"/>
    <w:rsid w:val="000D44C5"/>
    <w:rsid w:val="000D4D27"/>
    <w:rsid w:val="000D52C5"/>
    <w:rsid w:val="000D5A1E"/>
    <w:rsid w:val="000D6D95"/>
    <w:rsid w:val="000E0F2D"/>
    <w:rsid w:val="000E1186"/>
    <w:rsid w:val="000E1AB3"/>
    <w:rsid w:val="000E1C7D"/>
    <w:rsid w:val="000E2B07"/>
    <w:rsid w:val="000E303A"/>
    <w:rsid w:val="000E41ED"/>
    <w:rsid w:val="000E577A"/>
    <w:rsid w:val="000E5D07"/>
    <w:rsid w:val="000E62DB"/>
    <w:rsid w:val="000E7B22"/>
    <w:rsid w:val="000E7D0C"/>
    <w:rsid w:val="000E7F36"/>
    <w:rsid w:val="000F0280"/>
    <w:rsid w:val="000F0ACF"/>
    <w:rsid w:val="000F12E9"/>
    <w:rsid w:val="000F13F7"/>
    <w:rsid w:val="000F2409"/>
    <w:rsid w:val="000F266D"/>
    <w:rsid w:val="000F28B2"/>
    <w:rsid w:val="000F2951"/>
    <w:rsid w:val="000F6749"/>
    <w:rsid w:val="000F6862"/>
    <w:rsid w:val="000F755F"/>
    <w:rsid w:val="000F7868"/>
    <w:rsid w:val="00100471"/>
    <w:rsid w:val="00100903"/>
    <w:rsid w:val="00101428"/>
    <w:rsid w:val="001014C9"/>
    <w:rsid w:val="001014D8"/>
    <w:rsid w:val="001021D0"/>
    <w:rsid w:val="00102739"/>
    <w:rsid w:val="001030CA"/>
    <w:rsid w:val="00103B37"/>
    <w:rsid w:val="00105388"/>
    <w:rsid w:val="00105911"/>
    <w:rsid w:val="001059ED"/>
    <w:rsid w:val="00105B55"/>
    <w:rsid w:val="00106443"/>
    <w:rsid w:val="001065DB"/>
    <w:rsid w:val="001075C6"/>
    <w:rsid w:val="00107917"/>
    <w:rsid w:val="0011116B"/>
    <w:rsid w:val="001111A9"/>
    <w:rsid w:val="001111B4"/>
    <w:rsid w:val="001116AD"/>
    <w:rsid w:val="00111D41"/>
    <w:rsid w:val="0011238A"/>
    <w:rsid w:val="00114B94"/>
    <w:rsid w:val="00114C49"/>
    <w:rsid w:val="0011545B"/>
    <w:rsid w:val="00115942"/>
    <w:rsid w:val="0011648E"/>
    <w:rsid w:val="00117161"/>
    <w:rsid w:val="0011734B"/>
    <w:rsid w:val="00117ACC"/>
    <w:rsid w:val="001224D5"/>
    <w:rsid w:val="00124B6C"/>
    <w:rsid w:val="0012564D"/>
    <w:rsid w:val="001256FF"/>
    <w:rsid w:val="001257F4"/>
    <w:rsid w:val="0012713C"/>
    <w:rsid w:val="00127616"/>
    <w:rsid w:val="00127F35"/>
    <w:rsid w:val="0013003B"/>
    <w:rsid w:val="0013010C"/>
    <w:rsid w:val="00130BE6"/>
    <w:rsid w:val="00130DDC"/>
    <w:rsid w:val="00130EA7"/>
    <w:rsid w:val="001314A3"/>
    <w:rsid w:val="001327D4"/>
    <w:rsid w:val="00133013"/>
    <w:rsid w:val="00133C50"/>
    <w:rsid w:val="00134FAA"/>
    <w:rsid w:val="001355AF"/>
    <w:rsid w:val="00140DA2"/>
    <w:rsid w:val="00141C7A"/>
    <w:rsid w:val="00142475"/>
    <w:rsid w:val="001428A9"/>
    <w:rsid w:val="00142DC5"/>
    <w:rsid w:val="00142FEF"/>
    <w:rsid w:val="00143462"/>
    <w:rsid w:val="0014471A"/>
    <w:rsid w:val="00144B3C"/>
    <w:rsid w:val="00144E9B"/>
    <w:rsid w:val="00144FA2"/>
    <w:rsid w:val="00145545"/>
    <w:rsid w:val="00145B1B"/>
    <w:rsid w:val="00145CAE"/>
    <w:rsid w:val="00146084"/>
    <w:rsid w:val="001465C7"/>
    <w:rsid w:val="001465D4"/>
    <w:rsid w:val="00146B95"/>
    <w:rsid w:val="0015172D"/>
    <w:rsid w:val="00151B3E"/>
    <w:rsid w:val="00152105"/>
    <w:rsid w:val="0015277B"/>
    <w:rsid w:val="0015329D"/>
    <w:rsid w:val="00153E2A"/>
    <w:rsid w:val="00155325"/>
    <w:rsid w:val="001558A6"/>
    <w:rsid w:val="00157C3C"/>
    <w:rsid w:val="00157DC1"/>
    <w:rsid w:val="00157FED"/>
    <w:rsid w:val="0016101B"/>
    <w:rsid w:val="00162FB4"/>
    <w:rsid w:val="00163058"/>
    <w:rsid w:val="00163371"/>
    <w:rsid w:val="001637C9"/>
    <w:rsid w:val="001644D8"/>
    <w:rsid w:val="0016494E"/>
    <w:rsid w:val="00165DBE"/>
    <w:rsid w:val="00165ED0"/>
    <w:rsid w:val="00166061"/>
    <w:rsid w:val="00166E6A"/>
    <w:rsid w:val="00167267"/>
    <w:rsid w:val="00167401"/>
    <w:rsid w:val="00170696"/>
    <w:rsid w:val="00170C1F"/>
    <w:rsid w:val="0017215C"/>
    <w:rsid w:val="00172835"/>
    <w:rsid w:val="00173497"/>
    <w:rsid w:val="00173A7C"/>
    <w:rsid w:val="00173F24"/>
    <w:rsid w:val="0017486E"/>
    <w:rsid w:val="00175C41"/>
    <w:rsid w:val="001769DC"/>
    <w:rsid w:val="0017775D"/>
    <w:rsid w:val="0018004F"/>
    <w:rsid w:val="00180513"/>
    <w:rsid w:val="001806EA"/>
    <w:rsid w:val="00180D0F"/>
    <w:rsid w:val="0018133C"/>
    <w:rsid w:val="0018165C"/>
    <w:rsid w:val="001816B0"/>
    <w:rsid w:val="00181BBD"/>
    <w:rsid w:val="00182A1B"/>
    <w:rsid w:val="00182AAF"/>
    <w:rsid w:val="00182E78"/>
    <w:rsid w:val="001834D1"/>
    <w:rsid w:val="00184273"/>
    <w:rsid w:val="001844AB"/>
    <w:rsid w:val="00185484"/>
    <w:rsid w:val="00185CF6"/>
    <w:rsid w:val="001861D0"/>
    <w:rsid w:val="00186F55"/>
    <w:rsid w:val="0019039E"/>
    <w:rsid w:val="001919D4"/>
    <w:rsid w:val="00192AAB"/>
    <w:rsid w:val="00192E84"/>
    <w:rsid w:val="00193012"/>
    <w:rsid w:val="001930CF"/>
    <w:rsid w:val="00193301"/>
    <w:rsid w:val="0019335F"/>
    <w:rsid w:val="001937CB"/>
    <w:rsid w:val="001943C5"/>
    <w:rsid w:val="00194CEC"/>
    <w:rsid w:val="00194F49"/>
    <w:rsid w:val="0019574A"/>
    <w:rsid w:val="0019688F"/>
    <w:rsid w:val="00196943"/>
    <w:rsid w:val="00197467"/>
    <w:rsid w:val="001975A7"/>
    <w:rsid w:val="00197988"/>
    <w:rsid w:val="001A0CD1"/>
    <w:rsid w:val="001A179B"/>
    <w:rsid w:val="001A20CC"/>
    <w:rsid w:val="001A260D"/>
    <w:rsid w:val="001A26FC"/>
    <w:rsid w:val="001A3E3A"/>
    <w:rsid w:val="001A4CB1"/>
    <w:rsid w:val="001A6740"/>
    <w:rsid w:val="001A6784"/>
    <w:rsid w:val="001A679B"/>
    <w:rsid w:val="001A7945"/>
    <w:rsid w:val="001A7975"/>
    <w:rsid w:val="001B158F"/>
    <w:rsid w:val="001B49A1"/>
    <w:rsid w:val="001B49E2"/>
    <w:rsid w:val="001B56CE"/>
    <w:rsid w:val="001B5F04"/>
    <w:rsid w:val="001B791D"/>
    <w:rsid w:val="001B7A35"/>
    <w:rsid w:val="001C028B"/>
    <w:rsid w:val="001C08FE"/>
    <w:rsid w:val="001C18DF"/>
    <w:rsid w:val="001C1993"/>
    <w:rsid w:val="001C32FA"/>
    <w:rsid w:val="001C4730"/>
    <w:rsid w:val="001C4FBB"/>
    <w:rsid w:val="001C508B"/>
    <w:rsid w:val="001C528F"/>
    <w:rsid w:val="001C577A"/>
    <w:rsid w:val="001C587E"/>
    <w:rsid w:val="001C68C1"/>
    <w:rsid w:val="001C77E6"/>
    <w:rsid w:val="001C7AC6"/>
    <w:rsid w:val="001D023C"/>
    <w:rsid w:val="001D1915"/>
    <w:rsid w:val="001D3472"/>
    <w:rsid w:val="001D40DC"/>
    <w:rsid w:val="001D461D"/>
    <w:rsid w:val="001D57EE"/>
    <w:rsid w:val="001D671C"/>
    <w:rsid w:val="001D68BB"/>
    <w:rsid w:val="001D6BEA"/>
    <w:rsid w:val="001D713C"/>
    <w:rsid w:val="001D715A"/>
    <w:rsid w:val="001D7E38"/>
    <w:rsid w:val="001E0D32"/>
    <w:rsid w:val="001E2029"/>
    <w:rsid w:val="001E20D1"/>
    <w:rsid w:val="001E21FF"/>
    <w:rsid w:val="001E39AF"/>
    <w:rsid w:val="001E4603"/>
    <w:rsid w:val="001E46C2"/>
    <w:rsid w:val="001E5684"/>
    <w:rsid w:val="001E68BE"/>
    <w:rsid w:val="001E6A76"/>
    <w:rsid w:val="001E6F2D"/>
    <w:rsid w:val="001E706C"/>
    <w:rsid w:val="001E7373"/>
    <w:rsid w:val="001E764A"/>
    <w:rsid w:val="001F1157"/>
    <w:rsid w:val="001F196C"/>
    <w:rsid w:val="001F1BAF"/>
    <w:rsid w:val="001F2183"/>
    <w:rsid w:val="001F420E"/>
    <w:rsid w:val="001F5660"/>
    <w:rsid w:val="001F63B4"/>
    <w:rsid w:val="001F6562"/>
    <w:rsid w:val="001F6EBA"/>
    <w:rsid w:val="001F729E"/>
    <w:rsid w:val="001F7890"/>
    <w:rsid w:val="001F7C54"/>
    <w:rsid w:val="001F7C60"/>
    <w:rsid w:val="001F7E98"/>
    <w:rsid w:val="00200BEC"/>
    <w:rsid w:val="00200DCA"/>
    <w:rsid w:val="00200E55"/>
    <w:rsid w:val="00201230"/>
    <w:rsid w:val="00202700"/>
    <w:rsid w:val="0020306E"/>
    <w:rsid w:val="002031F3"/>
    <w:rsid w:val="00203206"/>
    <w:rsid w:val="00203DF2"/>
    <w:rsid w:val="00204005"/>
    <w:rsid w:val="0020558A"/>
    <w:rsid w:val="00205D80"/>
    <w:rsid w:val="00207784"/>
    <w:rsid w:val="00210167"/>
    <w:rsid w:val="0021069E"/>
    <w:rsid w:val="002107CC"/>
    <w:rsid w:val="00210943"/>
    <w:rsid w:val="00210D90"/>
    <w:rsid w:val="00211A41"/>
    <w:rsid w:val="00211D03"/>
    <w:rsid w:val="00211EB9"/>
    <w:rsid w:val="00212724"/>
    <w:rsid w:val="00213511"/>
    <w:rsid w:val="0021427E"/>
    <w:rsid w:val="00214C9B"/>
    <w:rsid w:val="00214D2F"/>
    <w:rsid w:val="00216192"/>
    <w:rsid w:val="002170DA"/>
    <w:rsid w:val="00217BF0"/>
    <w:rsid w:val="00220560"/>
    <w:rsid w:val="00220644"/>
    <w:rsid w:val="00221530"/>
    <w:rsid w:val="002222EE"/>
    <w:rsid w:val="00222A0C"/>
    <w:rsid w:val="00224116"/>
    <w:rsid w:val="00225FE7"/>
    <w:rsid w:val="00226E45"/>
    <w:rsid w:val="00227C6D"/>
    <w:rsid w:val="00230E78"/>
    <w:rsid w:val="00230EFF"/>
    <w:rsid w:val="00230F56"/>
    <w:rsid w:val="0023153A"/>
    <w:rsid w:val="0023156E"/>
    <w:rsid w:val="0023358B"/>
    <w:rsid w:val="00233738"/>
    <w:rsid w:val="00233B86"/>
    <w:rsid w:val="0023495F"/>
    <w:rsid w:val="002350C0"/>
    <w:rsid w:val="0023547C"/>
    <w:rsid w:val="00236C2A"/>
    <w:rsid w:val="002423B9"/>
    <w:rsid w:val="0024325F"/>
    <w:rsid w:val="00244056"/>
    <w:rsid w:val="00245074"/>
    <w:rsid w:val="0024533D"/>
    <w:rsid w:val="00245902"/>
    <w:rsid w:val="00246274"/>
    <w:rsid w:val="00247B7F"/>
    <w:rsid w:val="00250358"/>
    <w:rsid w:val="00252739"/>
    <w:rsid w:val="00252DB4"/>
    <w:rsid w:val="002540ED"/>
    <w:rsid w:val="00254140"/>
    <w:rsid w:val="002551DA"/>
    <w:rsid w:val="0025549D"/>
    <w:rsid w:val="002568D9"/>
    <w:rsid w:val="0025694E"/>
    <w:rsid w:val="002570DB"/>
    <w:rsid w:val="00260998"/>
    <w:rsid w:val="00260AD1"/>
    <w:rsid w:val="00260FE9"/>
    <w:rsid w:val="00261077"/>
    <w:rsid w:val="00263036"/>
    <w:rsid w:val="0026314E"/>
    <w:rsid w:val="00263C5D"/>
    <w:rsid w:val="0026573D"/>
    <w:rsid w:val="00266820"/>
    <w:rsid w:val="00266885"/>
    <w:rsid w:val="0027074B"/>
    <w:rsid w:val="00270B17"/>
    <w:rsid w:val="002710D4"/>
    <w:rsid w:val="002720FE"/>
    <w:rsid w:val="00272FD5"/>
    <w:rsid w:val="00272FDB"/>
    <w:rsid w:val="00273BFD"/>
    <w:rsid w:val="0027406D"/>
    <w:rsid w:val="002742DA"/>
    <w:rsid w:val="002745B7"/>
    <w:rsid w:val="00274881"/>
    <w:rsid w:val="0027568D"/>
    <w:rsid w:val="002764F8"/>
    <w:rsid w:val="0027668B"/>
    <w:rsid w:val="002766E7"/>
    <w:rsid w:val="00277B70"/>
    <w:rsid w:val="00280BAA"/>
    <w:rsid w:val="00281BF2"/>
    <w:rsid w:val="00281FC5"/>
    <w:rsid w:val="002827D2"/>
    <w:rsid w:val="002833B8"/>
    <w:rsid w:val="0028419D"/>
    <w:rsid w:val="002842BF"/>
    <w:rsid w:val="00284E8C"/>
    <w:rsid w:val="002852BB"/>
    <w:rsid w:val="002857D9"/>
    <w:rsid w:val="00286358"/>
    <w:rsid w:val="00286F03"/>
    <w:rsid w:val="002908BD"/>
    <w:rsid w:val="00290AC9"/>
    <w:rsid w:val="00291122"/>
    <w:rsid w:val="00291125"/>
    <w:rsid w:val="00291A3F"/>
    <w:rsid w:val="00292A3F"/>
    <w:rsid w:val="00292A9A"/>
    <w:rsid w:val="00292B37"/>
    <w:rsid w:val="00292FAA"/>
    <w:rsid w:val="00293CEC"/>
    <w:rsid w:val="002940E7"/>
    <w:rsid w:val="00294DBF"/>
    <w:rsid w:val="00295BB2"/>
    <w:rsid w:val="00296287"/>
    <w:rsid w:val="00296375"/>
    <w:rsid w:val="00296FC6"/>
    <w:rsid w:val="00297017"/>
    <w:rsid w:val="00297830"/>
    <w:rsid w:val="002A1332"/>
    <w:rsid w:val="002A255D"/>
    <w:rsid w:val="002A2712"/>
    <w:rsid w:val="002A2B9B"/>
    <w:rsid w:val="002A37ED"/>
    <w:rsid w:val="002A420F"/>
    <w:rsid w:val="002A5D95"/>
    <w:rsid w:val="002A5F62"/>
    <w:rsid w:val="002A628F"/>
    <w:rsid w:val="002A6666"/>
    <w:rsid w:val="002A7F2B"/>
    <w:rsid w:val="002B02E3"/>
    <w:rsid w:val="002B057E"/>
    <w:rsid w:val="002B26C4"/>
    <w:rsid w:val="002B31B0"/>
    <w:rsid w:val="002B4ADC"/>
    <w:rsid w:val="002B5601"/>
    <w:rsid w:val="002B7DFC"/>
    <w:rsid w:val="002B7F8A"/>
    <w:rsid w:val="002C0045"/>
    <w:rsid w:val="002C1B21"/>
    <w:rsid w:val="002C2BEC"/>
    <w:rsid w:val="002C32F2"/>
    <w:rsid w:val="002C462F"/>
    <w:rsid w:val="002C4E66"/>
    <w:rsid w:val="002C510A"/>
    <w:rsid w:val="002C527B"/>
    <w:rsid w:val="002C55E7"/>
    <w:rsid w:val="002C5A15"/>
    <w:rsid w:val="002C65BE"/>
    <w:rsid w:val="002C6807"/>
    <w:rsid w:val="002C73CF"/>
    <w:rsid w:val="002D0F33"/>
    <w:rsid w:val="002D1C3B"/>
    <w:rsid w:val="002D4E30"/>
    <w:rsid w:val="002D6332"/>
    <w:rsid w:val="002D6476"/>
    <w:rsid w:val="002D6480"/>
    <w:rsid w:val="002D65A3"/>
    <w:rsid w:val="002D65E5"/>
    <w:rsid w:val="002D6F96"/>
    <w:rsid w:val="002E050F"/>
    <w:rsid w:val="002E0BA8"/>
    <w:rsid w:val="002E11C5"/>
    <w:rsid w:val="002E11D4"/>
    <w:rsid w:val="002E126C"/>
    <w:rsid w:val="002E25AE"/>
    <w:rsid w:val="002E374F"/>
    <w:rsid w:val="002E3CDF"/>
    <w:rsid w:val="002E4AAC"/>
    <w:rsid w:val="002E4CD0"/>
    <w:rsid w:val="002E5015"/>
    <w:rsid w:val="002E54A0"/>
    <w:rsid w:val="002E5C4C"/>
    <w:rsid w:val="002E6F24"/>
    <w:rsid w:val="002E756E"/>
    <w:rsid w:val="002F113C"/>
    <w:rsid w:val="002F11E7"/>
    <w:rsid w:val="002F37AD"/>
    <w:rsid w:val="002F388A"/>
    <w:rsid w:val="002F3C96"/>
    <w:rsid w:val="002F4360"/>
    <w:rsid w:val="002F449E"/>
    <w:rsid w:val="002F6755"/>
    <w:rsid w:val="002F6C02"/>
    <w:rsid w:val="002F6FEB"/>
    <w:rsid w:val="002F74B3"/>
    <w:rsid w:val="00300CA1"/>
    <w:rsid w:val="0030110D"/>
    <w:rsid w:val="00301E62"/>
    <w:rsid w:val="00302057"/>
    <w:rsid w:val="003036A8"/>
    <w:rsid w:val="003042A9"/>
    <w:rsid w:val="00304D8F"/>
    <w:rsid w:val="0030665A"/>
    <w:rsid w:val="0030665D"/>
    <w:rsid w:val="00306F4C"/>
    <w:rsid w:val="00307A0E"/>
    <w:rsid w:val="003104F1"/>
    <w:rsid w:val="003108F3"/>
    <w:rsid w:val="00311ED9"/>
    <w:rsid w:val="003129BA"/>
    <w:rsid w:val="00314665"/>
    <w:rsid w:val="00314E16"/>
    <w:rsid w:val="00315C66"/>
    <w:rsid w:val="00315E4C"/>
    <w:rsid w:val="00317318"/>
    <w:rsid w:val="00320F18"/>
    <w:rsid w:val="00321589"/>
    <w:rsid w:val="00321840"/>
    <w:rsid w:val="00322788"/>
    <w:rsid w:val="003237DC"/>
    <w:rsid w:val="00324C3E"/>
    <w:rsid w:val="003259FD"/>
    <w:rsid w:val="0032632F"/>
    <w:rsid w:val="00326B89"/>
    <w:rsid w:val="00330A26"/>
    <w:rsid w:val="0033143D"/>
    <w:rsid w:val="00331D63"/>
    <w:rsid w:val="00332C5F"/>
    <w:rsid w:val="00332D46"/>
    <w:rsid w:val="00333B8C"/>
    <w:rsid w:val="00333BB8"/>
    <w:rsid w:val="00334F7E"/>
    <w:rsid w:val="00335AF4"/>
    <w:rsid w:val="00336703"/>
    <w:rsid w:val="00336B53"/>
    <w:rsid w:val="003379BA"/>
    <w:rsid w:val="00337A90"/>
    <w:rsid w:val="00337F3C"/>
    <w:rsid w:val="00340E16"/>
    <w:rsid w:val="00341E1C"/>
    <w:rsid w:val="003422EC"/>
    <w:rsid w:val="003423EB"/>
    <w:rsid w:val="00342939"/>
    <w:rsid w:val="00342B90"/>
    <w:rsid w:val="00343784"/>
    <w:rsid w:val="00343EB3"/>
    <w:rsid w:val="0034427B"/>
    <w:rsid w:val="00344B0E"/>
    <w:rsid w:val="0034519E"/>
    <w:rsid w:val="003451AC"/>
    <w:rsid w:val="003454E7"/>
    <w:rsid w:val="003457D6"/>
    <w:rsid w:val="00346A53"/>
    <w:rsid w:val="00346FE3"/>
    <w:rsid w:val="00347C6F"/>
    <w:rsid w:val="00347E8B"/>
    <w:rsid w:val="0035006D"/>
    <w:rsid w:val="003500C7"/>
    <w:rsid w:val="003505C1"/>
    <w:rsid w:val="00351637"/>
    <w:rsid w:val="00351C8E"/>
    <w:rsid w:val="0035235C"/>
    <w:rsid w:val="00352CF8"/>
    <w:rsid w:val="00353613"/>
    <w:rsid w:val="00353950"/>
    <w:rsid w:val="0035451F"/>
    <w:rsid w:val="003549C7"/>
    <w:rsid w:val="00354AA6"/>
    <w:rsid w:val="00354C9B"/>
    <w:rsid w:val="00355A0F"/>
    <w:rsid w:val="00355CDB"/>
    <w:rsid w:val="0035639F"/>
    <w:rsid w:val="003576CE"/>
    <w:rsid w:val="00357C7A"/>
    <w:rsid w:val="003617AC"/>
    <w:rsid w:val="00361A7B"/>
    <w:rsid w:val="00361C2B"/>
    <w:rsid w:val="00361FFF"/>
    <w:rsid w:val="00362188"/>
    <w:rsid w:val="003623F6"/>
    <w:rsid w:val="0036367F"/>
    <w:rsid w:val="00363C3D"/>
    <w:rsid w:val="0036431B"/>
    <w:rsid w:val="00364AA2"/>
    <w:rsid w:val="00366AA5"/>
    <w:rsid w:val="00366BB2"/>
    <w:rsid w:val="003679C3"/>
    <w:rsid w:val="003701AA"/>
    <w:rsid w:val="00370FC8"/>
    <w:rsid w:val="003710A0"/>
    <w:rsid w:val="003721B3"/>
    <w:rsid w:val="003729F7"/>
    <w:rsid w:val="00372B5C"/>
    <w:rsid w:val="00372BAE"/>
    <w:rsid w:val="003734F7"/>
    <w:rsid w:val="0037464C"/>
    <w:rsid w:val="00374B42"/>
    <w:rsid w:val="00374B74"/>
    <w:rsid w:val="00375487"/>
    <w:rsid w:val="00377844"/>
    <w:rsid w:val="003807A2"/>
    <w:rsid w:val="00381455"/>
    <w:rsid w:val="00382636"/>
    <w:rsid w:val="00383351"/>
    <w:rsid w:val="00383C5A"/>
    <w:rsid w:val="0038435D"/>
    <w:rsid w:val="00386BA1"/>
    <w:rsid w:val="00390196"/>
    <w:rsid w:val="003927AB"/>
    <w:rsid w:val="00392DAB"/>
    <w:rsid w:val="00393FCE"/>
    <w:rsid w:val="0039540D"/>
    <w:rsid w:val="003965BA"/>
    <w:rsid w:val="00396CA4"/>
    <w:rsid w:val="003975D3"/>
    <w:rsid w:val="00397997"/>
    <w:rsid w:val="00397CE8"/>
    <w:rsid w:val="003A12CB"/>
    <w:rsid w:val="003A18A2"/>
    <w:rsid w:val="003A1967"/>
    <w:rsid w:val="003A1C70"/>
    <w:rsid w:val="003A42E2"/>
    <w:rsid w:val="003A4386"/>
    <w:rsid w:val="003A4524"/>
    <w:rsid w:val="003A4B6C"/>
    <w:rsid w:val="003A5350"/>
    <w:rsid w:val="003A5582"/>
    <w:rsid w:val="003A6B0E"/>
    <w:rsid w:val="003A6DEA"/>
    <w:rsid w:val="003A6FFE"/>
    <w:rsid w:val="003B085B"/>
    <w:rsid w:val="003B1D55"/>
    <w:rsid w:val="003B2323"/>
    <w:rsid w:val="003B253F"/>
    <w:rsid w:val="003B334E"/>
    <w:rsid w:val="003B3E6E"/>
    <w:rsid w:val="003B4195"/>
    <w:rsid w:val="003B466E"/>
    <w:rsid w:val="003B4C5B"/>
    <w:rsid w:val="003B5402"/>
    <w:rsid w:val="003B6A0F"/>
    <w:rsid w:val="003B6DF8"/>
    <w:rsid w:val="003B6EA5"/>
    <w:rsid w:val="003B77F0"/>
    <w:rsid w:val="003B7E46"/>
    <w:rsid w:val="003C0CE7"/>
    <w:rsid w:val="003C1BBF"/>
    <w:rsid w:val="003C1E9B"/>
    <w:rsid w:val="003C2418"/>
    <w:rsid w:val="003C2FC4"/>
    <w:rsid w:val="003C33B3"/>
    <w:rsid w:val="003C3905"/>
    <w:rsid w:val="003C662D"/>
    <w:rsid w:val="003C673C"/>
    <w:rsid w:val="003D054C"/>
    <w:rsid w:val="003D0C18"/>
    <w:rsid w:val="003D11EF"/>
    <w:rsid w:val="003D1B1E"/>
    <w:rsid w:val="003D2581"/>
    <w:rsid w:val="003D4509"/>
    <w:rsid w:val="003D5F15"/>
    <w:rsid w:val="003D6388"/>
    <w:rsid w:val="003D6425"/>
    <w:rsid w:val="003D6495"/>
    <w:rsid w:val="003D6739"/>
    <w:rsid w:val="003E02B2"/>
    <w:rsid w:val="003E0548"/>
    <w:rsid w:val="003E08C3"/>
    <w:rsid w:val="003E1520"/>
    <w:rsid w:val="003E1753"/>
    <w:rsid w:val="003E1FE2"/>
    <w:rsid w:val="003E2CAE"/>
    <w:rsid w:val="003E363F"/>
    <w:rsid w:val="003E4FFC"/>
    <w:rsid w:val="003E50DD"/>
    <w:rsid w:val="003E56B1"/>
    <w:rsid w:val="003E61AE"/>
    <w:rsid w:val="003E68B4"/>
    <w:rsid w:val="003E7D9B"/>
    <w:rsid w:val="003E7E22"/>
    <w:rsid w:val="003F0049"/>
    <w:rsid w:val="003F163A"/>
    <w:rsid w:val="003F1990"/>
    <w:rsid w:val="003F1D5C"/>
    <w:rsid w:val="003F264A"/>
    <w:rsid w:val="003F27D0"/>
    <w:rsid w:val="003F61E8"/>
    <w:rsid w:val="003F6D72"/>
    <w:rsid w:val="003F77B0"/>
    <w:rsid w:val="003F7EE3"/>
    <w:rsid w:val="00400699"/>
    <w:rsid w:val="004006F5"/>
    <w:rsid w:val="00401C11"/>
    <w:rsid w:val="00402AC6"/>
    <w:rsid w:val="00404188"/>
    <w:rsid w:val="0040444E"/>
    <w:rsid w:val="00404E38"/>
    <w:rsid w:val="00405E29"/>
    <w:rsid w:val="00405FCE"/>
    <w:rsid w:val="00407187"/>
    <w:rsid w:val="00410707"/>
    <w:rsid w:val="00410741"/>
    <w:rsid w:val="0041153B"/>
    <w:rsid w:val="00411C57"/>
    <w:rsid w:val="0041262D"/>
    <w:rsid w:val="00412C28"/>
    <w:rsid w:val="004141F2"/>
    <w:rsid w:val="00414253"/>
    <w:rsid w:val="00414A63"/>
    <w:rsid w:val="00414C44"/>
    <w:rsid w:val="00415856"/>
    <w:rsid w:val="004167DE"/>
    <w:rsid w:val="00416B9D"/>
    <w:rsid w:val="004178FC"/>
    <w:rsid w:val="00420226"/>
    <w:rsid w:val="00420996"/>
    <w:rsid w:val="0042165B"/>
    <w:rsid w:val="004223A9"/>
    <w:rsid w:val="00423103"/>
    <w:rsid w:val="00423BBD"/>
    <w:rsid w:val="00423D63"/>
    <w:rsid w:val="00423DAE"/>
    <w:rsid w:val="00426334"/>
    <w:rsid w:val="004267A5"/>
    <w:rsid w:val="00426804"/>
    <w:rsid w:val="004274B0"/>
    <w:rsid w:val="00427CD3"/>
    <w:rsid w:val="0043006E"/>
    <w:rsid w:val="00430105"/>
    <w:rsid w:val="00430529"/>
    <w:rsid w:val="0043088D"/>
    <w:rsid w:val="0043216E"/>
    <w:rsid w:val="00432387"/>
    <w:rsid w:val="00435219"/>
    <w:rsid w:val="0043528A"/>
    <w:rsid w:val="004359A7"/>
    <w:rsid w:val="00435E7B"/>
    <w:rsid w:val="00436310"/>
    <w:rsid w:val="004365A9"/>
    <w:rsid w:val="00436984"/>
    <w:rsid w:val="004372BD"/>
    <w:rsid w:val="004376CA"/>
    <w:rsid w:val="00440B42"/>
    <w:rsid w:val="00441550"/>
    <w:rsid w:val="0044206B"/>
    <w:rsid w:val="0044254D"/>
    <w:rsid w:val="004425DC"/>
    <w:rsid w:val="00443C1C"/>
    <w:rsid w:val="00443C63"/>
    <w:rsid w:val="00443DE2"/>
    <w:rsid w:val="00444A6B"/>
    <w:rsid w:val="00445099"/>
    <w:rsid w:val="0044521D"/>
    <w:rsid w:val="00445FAA"/>
    <w:rsid w:val="00446255"/>
    <w:rsid w:val="0044761B"/>
    <w:rsid w:val="00447A68"/>
    <w:rsid w:val="00450790"/>
    <w:rsid w:val="00450D24"/>
    <w:rsid w:val="00450F09"/>
    <w:rsid w:val="0045147F"/>
    <w:rsid w:val="004516AD"/>
    <w:rsid w:val="004521A0"/>
    <w:rsid w:val="00454E80"/>
    <w:rsid w:val="00455536"/>
    <w:rsid w:val="00455B4A"/>
    <w:rsid w:val="00455B5B"/>
    <w:rsid w:val="00456790"/>
    <w:rsid w:val="00456B90"/>
    <w:rsid w:val="00457194"/>
    <w:rsid w:val="00457F45"/>
    <w:rsid w:val="00457FC6"/>
    <w:rsid w:val="00460134"/>
    <w:rsid w:val="00460B27"/>
    <w:rsid w:val="00460D83"/>
    <w:rsid w:val="00460EC6"/>
    <w:rsid w:val="00461F49"/>
    <w:rsid w:val="004620B6"/>
    <w:rsid w:val="004632D9"/>
    <w:rsid w:val="004635E1"/>
    <w:rsid w:val="00463F27"/>
    <w:rsid w:val="00464C6E"/>
    <w:rsid w:val="00465229"/>
    <w:rsid w:val="004665E6"/>
    <w:rsid w:val="00466BDA"/>
    <w:rsid w:val="00466CFA"/>
    <w:rsid w:val="004671F2"/>
    <w:rsid w:val="0047017F"/>
    <w:rsid w:val="00471F9E"/>
    <w:rsid w:val="0047242E"/>
    <w:rsid w:val="004733F3"/>
    <w:rsid w:val="00473481"/>
    <w:rsid w:val="00473545"/>
    <w:rsid w:val="00473DFC"/>
    <w:rsid w:val="0047430D"/>
    <w:rsid w:val="0047598A"/>
    <w:rsid w:val="00475B41"/>
    <w:rsid w:val="00475EDA"/>
    <w:rsid w:val="0047605C"/>
    <w:rsid w:val="00476F47"/>
    <w:rsid w:val="0047794D"/>
    <w:rsid w:val="004800DE"/>
    <w:rsid w:val="004806BB"/>
    <w:rsid w:val="00482381"/>
    <w:rsid w:val="004827B9"/>
    <w:rsid w:val="00482C76"/>
    <w:rsid w:val="004842A9"/>
    <w:rsid w:val="0048490D"/>
    <w:rsid w:val="00485B26"/>
    <w:rsid w:val="00485BD6"/>
    <w:rsid w:val="004860B7"/>
    <w:rsid w:val="004860C5"/>
    <w:rsid w:val="004869A9"/>
    <w:rsid w:val="004874BB"/>
    <w:rsid w:val="00487715"/>
    <w:rsid w:val="004908CE"/>
    <w:rsid w:val="00491029"/>
    <w:rsid w:val="004919BE"/>
    <w:rsid w:val="00492DF9"/>
    <w:rsid w:val="0049319E"/>
    <w:rsid w:val="0049365B"/>
    <w:rsid w:val="00494223"/>
    <w:rsid w:val="00494549"/>
    <w:rsid w:val="0049554A"/>
    <w:rsid w:val="004957A1"/>
    <w:rsid w:val="00495C30"/>
    <w:rsid w:val="004972A6"/>
    <w:rsid w:val="004A0A62"/>
    <w:rsid w:val="004A19C8"/>
    <w:rsid w:val="004A3271"/>
    <w:rsid w:val="004A3C77"/>
    <w:rsid w:val="004A3F61"/>
    <w:rsid w:val="004A567F"/>
    <w:rsid w:val="004A6D90"/>
    <w:rsid w:val="004A76AE"/>
    <w:rsid w:val="004B0397"/>
    <w:rsid w:val="004B0477"/>
    <w:rsid w:val="004B0739"/>
    <w:rsid w:val="004B16DD"/>
    <w:rsid w:val="004B2C03"/>
    <w:rsid w:val="004B2F10"/>
    <w:rsid w:val="004B4399"/>
    <w:rsid w:val="004B45F3"/>
    <w:rsid w:val="004B4D70"/>
    <w:rsid w:val="004B5329"/>
    <w:rsid w:val="004B5729"/>
    <w:rsid w:val="004B5973"/>
    <w:rsid w:val="004B5AEB"/>
    <w:rsid w:val="004B5B3D"/>
    <w:rsid w:val="004B5F0D"/>
    <w:rsid w:val="004C02F7"/>
    <w:rsid w:val="004C1186"/>
    <w:rsid w:val="004C1C80"/>
    <w:rsid w:val="004C2CEA"/>
    <w:rsid w:val="004C2D51"/>
    <w:rsid w:val="004C31C8"/>
    <w:rsid w:val="004C36B5"/>
    <w:rsid w:val="004C3947"/>
    <w:rsid w:val="004C3A86"/>
    <w:rsid w:val="004C445C"/>
    <w:rsid w:val="004C49F1"/>
    <w:rsid w:val="004C4AA4"/>
    <w:rsid w:val="004C4B70"/>
    <w:rsid w:val="004C4D31"/>
    <w:rsid w:val="004C6317"/>
    <w:rsid w:val="004C6C9B"/>
    <w:rsid w:val="004C74BD"/>
    <w:rsid w:val="004C7791"/>
    <w:rsid w:val="004D01E4"/>
    <w:rsid w:val="004D08ED"/>
    <w:rsid w:val="004D115C"/>
    <w:rsid w:val="004D199B"/>
    <w:rsid w:val="004D234C"/>
    <w:rsid w:val="004D3D50"/>
    <w:rsid w:val="004D4A0E"/>
    <w:rsid w:val="004D4E38"/>
    <w:rsid w:val="004D4E8F"/>
    <w:rsid w:val="004D60D5"/>
    <w:rsid w:val="004D64E9"/>
    <w:rsid w:val="004D7214"/>
    <w:rsid w:val="004D75DB"/>
    <w:rsid w:val="004E0B9D"/>
    <w:rsid w:val="004E0E9D"/>
    <w:rsid w:val="004E16B4"/>
    <w:rsid w:val="004E22CD"/>
    <w:rsid w:val="004E36FB"/>
    <w:rsid w:val="004E40C4"/>
    <w:rsid w:val="004E48F9"/>
    <w:rsid w:val="004E668A"/>
    <w:rsid w:val="004E7727"/>
    <w:rsid w:val="004F0389"/>
    <w:rsid w:val="004F06DD"/>
    <w:rsid w:val="004F2771"/>
    <w:rsid w:val="004F2A6E"/>
    <w:rsid w:val="004F2B0B"/>
    <w:rsid w:val="004F2FE6"/>
    <w:rsid w:val="004F3F5E"/>
    <w:rsid w:val="004F422F"/>
    <w:rsid w:val="004F45BC"/>
    <w:rsid w:val="004F4722"/>
    <w:rsid w:val="004F4F45"/>
    <w:rsid w:val="004F572F"/>
    <w:rsid w:val="004F57FE"/>
    <w:rsid w:val="004F6955"/>
    <w:rsid w:val="004F75BF"/>
    <w:rsid w:val="004F7B62"/>
    <w:rsid w:val="004F7DD4"/>
    <w:rsid w:val="00500115"/>
    <w:rsid w:val="005002E8"/>
    <w:rsid w:val="00501219"/>
    <w:rsid w:val="005015B6"/>
    <w:rsid w:val="0050167D"/>
    <w:rsid w:val="0050188E"/>
    <w:rsid w:val="00501BB5"/>
    <w:rsid w:val="0050376C"/>
    <w:rsid w:val="00503D74"/>
    <w:rsid w:val="005043B5"/>
    <w:rsid w:val="00504D2B"/>
    <w:rsid w:val="0050520B"/>
    <w:rsid w:val="00507D55"/>
    <w:rsid w:val="00510959"/>
    <w:rsid w:val="005118C8"/>
    <w:rsid w:val="0051190C"/>
    <w:rsid w:val="00511D6D"/>
    <w:rsid w:val="005121C6"/>
    <w:rsid w:val="0051314A"/>
    <w:rsid w:val="00513282"/>
    <w:rsid w:val="00513D48"/>
    <w:rsid w:val="00513DEB"/>
    <w:rsid w:val="00514B48"/>
    <w:rsid w:val="00515CF1"/>
    <w:rsid w:val="00516044"/>
    <w:rsid w:val="00517727"/>
    <w:rsid w:val="00517B2E"/>
    <w:rsid w:val="00517E31"/>
    <w:rsid w:val="005203B5"/>
    <w:rsid w:val="005203D2"/>
    <w:rsid w:val="00520BE4"/>
    <w:rsid w:val="00522297"/>
    <w:rsid w:val="00523127"/>
    <w:rsid w:val="00523140"/>
    <w:rsid w:val="00523D47"/>
    <w:rsid w:val="005241FB"/>
    <w:rsid w:val="00524684"/>
    <w:rsid w:val="00524E7F"/>
    <w:rsid w:val="00524E9C"/>
    <w:rsid w:val="00525874"/>
    <w:rsid w:val="005268A2"/>
    <w:rsid w:val="00527440"/>
    <w:rsid w:val="00527AFB"/>
    <w:rsid w:val="00527CDE"/>
    <w:rsid w:val="00527E13"/>
    <w:rsid w:val="00527FB6"/>
    <w:rsid w:val="00530BEC"/>
    <w:rsid w:val="00531DCE"/>
    <w:rsid w:val="00531FF9"/>
    <w:rsid w:val="00534578"/>
    <w:rsid w:val="005348C5"/>
    <w:rsid w:val="00534A24"/>
    <w:rsid w:val="00534CFF"/>
    <w:rsid w:val="005354C9"/>
    <w:rsid w:val="005359E4"/>
    <w:rsid w:val="00535DC6"/>
    <w:rsid w:val="00536008"/>
    <w:rsid w:val="00536595"/>
    <w:rsid w:val="00536604"/>
    <w:rsid w:val="0053771D"/>
    <w:rsid w:val="00537BA7"/>
    <w:rsid w:val="0054018B"/>
    <w:rsid w:val="00540799"/>
    <w:rsid w:val="00540E78"/>
    <w:rsid w:val="00541667"/>
    <w:rsid w:val="00542236"/>
    <w:rsid w:val="0054278D"/>
    <w:rsid w:val="00542E20"/>
    <w:rsid w:val="00544294"/>
    <w:rsid w:val="005446F1"/>
    <w:rsid w:val="0054473E"/>
    <w:rsid w:val="00544803"/>
    <w:rsid w:val="00545463"/>
    <w:rsid w:val="00546A8B"/>
    <w:rsid w:val="00546D48"/>
    <w:rsid w:val="00550A98"/>
    <w:rsid w:val="0055191F"/>
    <w:rsid w:val="00551FB6"/>
    <w:rsid w:val="005520B2"/>
    <w:rsid w:val="00553191"/>
    <w:rsid w:val="005533AB"/>
    <w:rsid w:val="0055379A"/>
    <w:rsid w:val="0055439C"/>
    <w:rsid w:val="00554CAC"/>
    <w:rsid w:val="00554F3E"/>
    <w:rsid w:val="00555279"/>
    <w:rsid w:val="0055579A"/>
    <w:rsid w:val="0055648A"/>
    <w:rsid w:val="00556949"/>
    <w:rsid w:val="00557411"/>
    <w:rsid w:val="00560760"/>
    <w:rsid w:val="00560AA4"/>
    <w:rsid w:val="00561ED9"/>
    <w:rsid w:val="00562718"/>
    <w:rsid w:val="00563254"/>
    <w:rsid w:val="0056344D"/>
    <w:rsid w:val="0056350A"/>
    <w:rsid w:val="0056371F"/>
    <w:rsid w:val="00563949"/>
    <w:rsid w:val="0056481B"/>
    <w:rsid w:val="00564D70"/>
    <w:rsid w:val="00564FE6"/>
    <w:rsid w:val="0056534A"/>
    <w:rsid w:val="00565507"/>
    <w:rsid w:val="0056649B"/>
    <w:rsid w:val="00566502"/>
    <w:rsid w:val="00566817"/>
    <w:rsid w:val="0056693A"/>
    <w:rsid w:val="005669C6"/>
    <w:rsid w:val="00567D92"/>
    <w:rsid w:val="00567EE5"/>
    <w:rsid w:val="0057047F"/>
    <w:rsid w:val="005708EF"/>
    <w:rsid w:val="0057099C"/>
    <w:rsid w:val="00570EB1"/>
    <w:rsid w:val="005713E3"/>
    <w:rsid w:val="005714BB"/>
    <w:rsid w:val="005716DC"/>
    <w:rsid w:val="00571B4D"/>
    <w:rsid w:val="00571C97"/>
    <w:rsid w:val="0057229D"/>
    <w:rsid w:val="00574643"/>
    <w:rsid w:val="00576123"/>
    <w:rsid w:val="005763FA"/>
    <w:rsid w:val="00576454"/>
    <w:rsid w:val="00576946"/>
    <w:rsid w:val="00576C6B"/>
    <w:rsid w:val="00577197"/>
    <w:rsid w:val="00577EB1"/>
    <w:rsid w:val="00580143"/>
    <w:rsid w:val="00580970"/>
    <w:rsid w:val="005812F2"/>
    <w:rsid w:val="005814C2"/>
    <w:rsid w:val="00581D09"/>
    <w:rsid w:val="00583B05"/>
    <w:rsid w:val="00584852"/>
    <w:rsid w:val="00585804"/>
    <w:rsid w:val="00585DE3"/>
    <w:rsid w:val="00586264"/>
    <w:rsid w:val="0058663C"/>
    <w:rsid w:val="00587018"/>
    <w:rsid w:val="0058711D"/>
    <w:rsid w:val="00590158"/>
    <w:rsid w:val="005902D4"/>
    <w:rsid w:val="005910D1"/>
    <w:rsid w:val="005916AD"/>
    <w:rsid w:val="00591A1C"/>
    <w:rsid w:val="00593139"/>
    <w:rsid w:val="005936DB"/>
    <w:rsid w:val="00593789"/>
    <w:rsid w:val="00593848"/>
    <w:rsid w:val="00594617"/>
    <w:rsid w:val="00594A29"/>
    <w:rsid w:val="005951C0"/>
    <w:rsid w:val="005953EE"/>
    <w:rsid w:val="005965DA"/>
    <w:rsid w:val="005972D6"/>
    <w:rsid w:val="0059771E"/>
    <w:rsid w:val="00597C5C"/>
    <w:rsid w:val="005A0223"/>
    <w:rsid w:val="005A0860"/>
    <w:rsid w:val="005A0F53"/>
    <w:rsid w:val="005A1306"/>
    <w:rsid w:val="005A14EA"/>
    <w:rsid w:val="005A14FB"/>
    <w:rsid w:val="005A1948"/>
    <w:rsid w:val="005A2760"/>
    <w:rsid w:val="005A2F5D"/>
    <w:rsid w:val="005A46B1"/>
    <w:rsid w:val="005A494A"/>
    <w:rsid w:val="005A4D1B"/>
    <w:rsid w:val="005A5155"/>
    <w:rsid w:val="005A5166"/>
    <w:rsid w:val="005A526B"/>
    <w:rsid w:val="005A56AE"/>
    <w:rsid w:val="005A576E"/>
    <w:rsid w:val="005A5D65"/>
    <w:rsid w:val="005A60D1"/>
    <w:rsid w:val="005A6A3C"/>
    <w:rsid w:val="005A6B31"/>
    <w:rsid w:val="005A74B7"/>
    <w:rsid w:val="005B01F6"/>
    <w:rsid w:val="005B1824"/>
    <w:rsid w:val="005B1B4E"/>
    <w:rsid w:val="005B2ABB"/>
    <w:rsid w:val="005B3DCA"/>
    <w:rsid w:val="005B3E0E"/>
    <w:rsid w:val="005B40D7"/>
    <w:rsid w:val="005B49C6"/>
    <w:rsid w:val="005B4A84"/>
    <w:rsid w:val="005B4B9B"/>
    <w:rsid w:val="005B4EF0"/>
    <w:rsid w:val="005B52BA"/>
    <w:rsid w:val="005B5352"/>
    <w:rsid w:val="005B6A3D"/>
    <w:rsid w:val="005B6C4D"/>
    <w:rsid w:val="005C09AF"/>
    <w:rsid w:val="005C0AD9"/>
    <w:rsid w:val="005C1147"/>
    <w:rsid w:val="005C2250"/>
    <w:rsid w:val="005C260A"/>
    <w:rsid w:val="005C2724"/>
    <w:rsid w:val="005C3229"/>
    <w:rsid w:val="005C3577"/>
    <w:rsid w:val="005C3BC3"/>
    <w:rsid w:val="005C3C8A"/>
    <w:rsid w:val="005C4A9C"/>
    <w:rsid w:val="005C50F3"/>
    <w:rsid w:val="005C5307"/>
    <w:rsid w:val="005C5340"/>
    <w:rsid w:val="005C60E7"/>
    <w:rsid w:val="005C6248"/>
    <w:rsid w:val="005C7A3D"/>
    <w:rsid w:val="005C7AC0"/>
    <w:rsid w:val="005D06C1"/>
    <w:rsid w:val="005D08AD"/>
    <w:rsid w:val="005D15BC"/>
    <w:rsid w:val="005D16F7"/>
    <w:rsid w:val="005D353D"/>
    <w:rsid w:val="005D39E0"/>
    <w:rsid w:val="005D3B4D"/>
    <w:rsid w:val="005D6742"/>
    <w:rsid w:val="005D7F76"/>
    <w:rsid w:val="005E2121"/>
    <w:rsid w:val="005E21F6"/>
    <w:rsid w:val="005E22FD"/>
    <w:rsid w:val="005E314E"/>
    <w:rsid w:val="005E3EF0"/>
    <w:rsid w:val="005E4A52"/>
    <w:rsid w:val="005E4AA0"/>
    <w:rsid w:val="005E4B71"/>
    <w:rsid w:val="005E5298"/>
    <w:rsid w:val="005E59F6"/>
    <w:rsid w:val="005E64AF"/>
    <w:rsid w:val="005E69B3"/>
    <w:rsid w:val="005E6D48"/>
    <w:rsid w:val="005F008A"/>
    <w:rsid w:val="005F05B4"/>
    <w:rsid w:val="005F0EB6"/>
    <w:rsid w:val="005F20ED"/>
    <w:rsid w:val="005F24D8"/>
    <w:rsid w:val="005F2A9D"/>
    <w:rsid w:val="005F399A"/>
    <w:rsid w:val="005F3D67"/>
    <w:rsid w:val="005F4001"/>
    <w:rsid w:val="005F49A3"/>
    <w:rsid w:val="005F4CC0"/>
    <w:rsid w:val="005F70EC"/>
    <w:rsid w:val="005F7304"/>
    <w:rsid w:val="005F77E8"/>
    <w:rsid w:val="005F7958"/>
    <w:rsid w:val="005F7A5B"/>
    <w:rsid w:val="00600AFA"/>
    <w:rsid w:val="00601729"/>
    <w:rsid w:val="006025DF"/>
    <w:rsid w:val="006035F9"/>
    <w:rsid w:val="00604877"/>
    <w:rsid w:val="006051E5"/>
    <w:rsid w:val="0060598C"/>
    <w:rsid w:val="00605C34"/>
    <w:rsid w:val="00605F30"/>
    <w:rsid w:val="00605F82"/>
    <w:rsid w:val="006069FC"/>
    <w:rsid w:val="00606CF2"/>
    <w:rsid w:val="006072B9"/>
    <w:rsid w:val="0060766B"/>
    <w:rsid w:val="00607F77"/>
    <w:rsid w:val="00610403"/>
    <w:rsid w:val="00611273"/>
    <w:rsid w:val="0061245E"/>
    <w:rsid w:val="006134F3"/>
    <w:rsid w:val="00613E70"/>
    <w:rsid w:val="00613E92"/>
    <w:rsid w:val="00613F2A"/>
    <w:rsid w:val="0061407C"/>
    <w:rsid w:val="00614119"/>
    <w:rsid w:val="00615080"/>
    <w:rsid w:val="006156BE"/>
    <w:rsid w:val="00616A93"/>
    <w:rsid w:val="00617485"/>
    <w:rsid w:val="006174BF"/>
    <w:rsid w:val="0062081B"/>
    <w:rsid w:val="00620EE7"/>
    <w:rsid w:val="00621230"/>
    <w:rsid w:val="00621446"/>
    <w:rsid w:val="00624179"/>
    <w:rsid w:val="0062417E"/>
    <w:rsid w:val="00624474"/>
    <w:rsid w:val="00624731"/>
    <w:rsid w:val="00624C60"/>
    <w:rsid w:val="006254D2"/>
    <w:rsid w:val="00625512"/>
    <w:rsid w:val="00626080"/>
    <w:rsid w:val="00626914"/>
    <w:rsid w:val="00626B74"/>
    <w:rsid w:val="00626F13"/>
    <w:rsid w:val="00630654"/>
    <w:rsid w:val="00630EFD"/>
    <w:rsid w:val="00631361"/>
    <w:rsid w:val="006318C0"/>
    <w:rsid w:val="00633D0A"/>
    <w:rsid w:val="0063422B"/>
    <w:rsid w:val="006358D7"/>
    <w:rsid w:val="00635FEC"/>
    <w:rsid w:val="0063679F"/>
    <w:rsid w:val="00636D6F"/>
    <w:rsid w:val="00636FB8"/>
    <w:rsid w:val="00637E12"/>
    <w:rsid w:val="00640584"/>
    <w:rsid w:val="00640DF2"/>
    <w:rsid w:val="006416C7"/>
    <w:rsid w:val="00641FA9"/>
    <w:rsid w:val="00642A69"/>
    <w:rsid w:val="00643A73"/>
    <w:rsid w:val="0064486B"/>
    <w:rsid w:val="006451A8"/>
    <w:rsid w:val="0064630B"/>
    <w:rsid w:val="0064638F"/>
    <w:rsid w:val="00646C35"/>
    <w:rsid w:val="00647757"/>
    <w:rsid w:val="00650395"/>
    <w:rsid w:val="00650449"/>
    <w:rsid w:val="006508EA"/>
    <w:rsid w:val="00653B74"/>
    <w:rsid w:val="00653D72"/>
    <w:rsid w:val="00653F14"/>
    <w:rsid w:val="0065465A"/>
    <w:rsid w:val="00654A9D"/>
    <w:rsid w:val="00655B23"/>
    <w:rsid w:val="00661118"/>
    <w:rsid w:val="006615B7"/>
    <w:rsid w:val="00661718"/>
    <w:rsid w:val="00661B76"/>
    <w:rsid w:val="006629D7"/>
    <w:rsid w:val="0066332A"/>
    <w:rsid w:val="006633AD"/>
    <w:rsid w:val="00664A36"/>
    <w:rsid w:val="00665F50"/>
    <w:rsid w:val="006661E1"/>
    <w:rsid w:val="0066715F"/>
    <w:rsid w:val="006673CA"/>
    <w:rsid w:val="00670427"/>
    <w:rsid w:val="0067082D"/>
    <w:rsid w:val="00671F92"/>
    <w:rsid w:val="00673019"/>
    <w:rsid w:val="0067338A"/>
    <w:rsid w:val="00673BB1"/>
    <w:rsid w:val="00673D8D"/>
    <w:rsid w:val="006750F0"/>
    <w:rsid w:val="006751ED"/>
    <w:rsid w:val="00675EF9"/>
    <w:rsid w:val="006764CB"/>
    <w:rsid w:val="00676934"/>
    <w:rsid w:val="00676993"/>
    <w:rsid w:val="00676CC2"/>
    <w:rsid w:val="00677931"/>
    <w:rsid w:val="00677BFA"/>
    <w:rsid w:val="00680355"/>
    <w:rsid w:val="00680753"/>
    <w:rsid w:val="00680878"/>
    <w:rsid w:val="00680D7F"/>
    <w:rsid w:val="00682B5F"/>
    <w:rsid w:val="006833F9"/>
    <w:rsid w:val="006851B3"/>
    <w:rsid w:val="00685365"/>
    <w:rsid w:val="0068536A"/>
    <w:rsid w:val="006854B1"/>
    <w:rsid w:val="006869C8"/>
    <w:rsid w:val="00686D30"/>
    <w:rsid w:val="00687813"/>
    <w:rsid w:val="00690495"/>
    <w:rsid w:val="00690860"/>
    <w:rsid w:val="006910D3"/>
    <w:rsid w:val="0069148B"/>
    <w:rsid w:val="00692DCB"/>
    <w:rsid w:val="00693349"/>
    <w:rsid w:val="006935D6"/>
    <w:rsid w:val="00693697"/>
    <w:rsid w:val="00693864"/>
    <w:rsid w:val="00693FE2"/>
    <w:rsid w:val="00694730"/>
    <w:rsid w:val="006955B0"/>
    <w:rsid w:val="00695883"/>
    <w:rsid w:val="00696379"/>
    <w:rsid w:val="00696C6C"/>
    <w:rsid w:val="0069723E"/>
    <w:rsid w:val="00697D3E"/>
    <w:rsid w:val="006A10C1"/>
    <w:rsid w:val="006A15D1"/>
    <w:rsid w:val="006A173C"/>
    <w:rsid w:val="006A36B1"/>
    <w:rsid w:val="006A4D0D"/>
    <w:rsid w:val="006A574E"/>
    <w:rsid w:val="006A5B5F"/>
    <w:rsid w:val="006A5E6A"/>
    <w:rsid w:val="006A7512"/>
    <w:rsid w:val="006A7D3F"/>
    <w:rsid w:val="006A7F45"/>
    <w:rsid w:val="006B02C6"/>
    <w:rsid w:val="006B0961"/>
    <w:rsid w:val="006B0DC5"/>
    <w:rsid w:val="006B11DC"/>
    <w:rsid w:val="006B2309"/>
    <w:rsid w:val="006B2DA8"/>
    <w:rsid w:val="006B3CA5"/>
    <w:rsid w:val="006B5237"/>
    <w:rsid w:val="006B566A"/>
    <w:rsid w:val="006B5FC2"/>
    <w:rsid w:val="006B614C"/>
    <w:rsid w:val="006C0C31"/>
    <w:rsid w:val="006C10F7"/>
    <w:rsid w:val="006C1218"/>
    <w:rsid w:val="006C1632"/>
    <w:rsid w:val="006C16BD"/>
    <w:rsid w:val="006C192D"/>
    <w:rsid w:val="006C1EE1"/>
    <w:rsid w:val="006C300D"/>
    <w:rsid w:val="006C30BE"/>
    <w:rsid w:val="006C3585"/>
    <w:rsid w:val="006C3AA8"/>
    <w:rsid w:val="006C3BD2"/>
    <w:rsid w:val="006C460D"/>
    <w:rsid w:val="006C4A0C"/>
    <w:rsid w:val="006C4C8C"/>
    <w:rsid w:val="006C4E0F"/>
    <w:rsid w:val="006C5D29"/>
    <w:rsid w:val="006C7CEA"/>
    <w:rsid w:val="006D07AE"/>
    <w:rsid w:val="006D0890"/>
    <w:rsid w:val="006D22CB"/>
    <w:rsid w:val="006D5233"/>
    <w:rsid w:val="006D5283"/>
    <w:rsid w:val="006D76E5"/>
    <w:rsid w:val="006D797E"/>
    <w:rsid w:val="006E0200"/>
    <w:rsid w:val="006E0668"/>
    <w:rsid w:val="006E0E62"/>
    <w:rsid w:val="006E222D"/>
    <w:rsid w:val="006E2450"/>
    <w:rsid w:val="006E34E1"/>
    <w:rsid w:val="006E35CC"/>
    <w:rsid w:val="006E49E3"/>
    <w:rsid w:val="006E5373"/>
    <w:rsid w:val="006E5B6A"/>
    <w:rsid w:val="006E6967"/>
    <w:rsid w:val="006E6D4C"/>
    <w:rsid w:val="006E761D"/>
    <w:rsid w:val="006E7E41"/>
    <w:rsid w:val="006F04B4"/>
    <w:rsid w:val="006F21D8"/>
    <w:rsid w:val="006F38F2"/>
    <w:rsid w:val="006F39EE"/>
    <w:rsid w:val="006F3D59"/>
    <w:rsid w:val="006F3FFD"/>
    <w:rsid w:val="006F487B"/>
    <w:rsid w:val="006F50F6"/>
    <w:rsid w:val="006F5EC5"/>
    <w:rsid w:val="006F6B20"/>
    <w:rsid w:val="006F7120"/>
    <w:rsid w:val="006F75B3"/>
    <w:rsid w:val="00700556"/>
    <w:rsid w:val="00700896"/>
    <w:rsid w:val="007009CA"/>
    <w:rsid w:val="00700FC4"/>
    <w:rsid w:val="00701856"/>
    <w:rsid w:val="00701E10"/>
    <w:rsid w:val="00702B45"/>
    <w:rsid w:val="00702FE1"/>
    <w:rsid w:val="00703F75"/>
    <w:rsid w:val="0070467B"/>
    <w:rsid w:val="00704DD7"/>
    <w:rsid w:val="00704FA5"/>
    <w:rsid w:val="00705326"/>
    <w:rsid w:val="007061D9"/>
    <w:rsid w:val="00706BDD"/>
    <w:rsid w:val="00706CCA"/>
    <w:rsid w:val="00706DC4"/>
    <w:rsid w:val="0070726B"/>
    <w:rsid w:val="00707308"/>
    <w:rsid w:val="007075F0"/>
    <w:rsid w:val="007101D7"/>
    <w:rsid w:val="00710527"/>
    <w:rsid w:val="00710CBD"/>
    <w:rsid w:val="007111FC"/>
    <w:rsid w:val="00711263"/>
    <w:rsid w:val="00711264"/>
    <w:rsid w:val="00711742"/>
    <w:rsid w:val="00712017"/>
    <w:rsid w:val="00712618"/>
    <w:rsid w:val="00712802"/>
    <w:rsid w:val="00712CAD"/>
    <w:rsid w:val="00712D4E"/>
    <w:rsid w:val="0071327F"/>
    <w:rsid w:val="00714584"/>
    <w:rsid w:val="00714AC6"/>
    <w:rsid w:val="00716BEA"/>
    <w:rsid w:val="00716E91"/>
    <w:rsid w:val="007179CB"/>
    <w:rsid w:val="007202C3"/>
    <w:rsid w:val="00720624"/>
    <w:rsid w:val="007208B5"/>
    <w:rsid w:val="00721998"/>
    <w:rsid w:val="00721CF1"/>
    <w:rsid w:val="007220E6"/>
    <w:rsid w:val="007221C5"/>
    <w:rsid w:val="00722280"/>
    <w:rsid w:val="0072299F"/>
    <w:rsid w:val="00722A5B"/>
    <w:rsid w:val="007233D9"/>
    <w:rsid w:val="00723E9B"/>
    <w:rsid w:val="00724674"/>
    <w:rsid w:val="00724D6D"/>
    <w:rsid w:val="00724F63"/>
    <w:rsid w:val="007252B3"/>
    <w:rsid w:val="0072563E"/>
    <w:rsid w:val="007263D0"/>
    <w:rsid w:val="00727D51"/>
    <w:rsid w:val="0073212C"/>
    <w:rsid w:val="00732C59"/>
    <w:rsid w:val="00732E5B"/>
    <w:rsid w:val="007339BD"/>
    <w:rsid w:val="007345C8"/>
    <w:rsid w:val="00734D7D"/>
    <w:rsid w:val="00735322"/>
    <w:rsid w:val="00736AE5"/>
    <w:rsid w:val="007400A1"/>
    <w:rsid w:val="0074071F"/>
    <w:rsid w:val="00741771"/>
    <w:rsid w:val="00741CF2"/>
    <w:rsid w:val="00741D09"/>
    <w:rsid w:val="00742C52"/>
    <w:rsid w:val="00742D6E"/>
    <w:rsid w:val="00743355"/>
    <w:rsid w:val="007435E3"/>
    <w:rsid w:val="007438E8"/>
    <w:rsid w:val="00743F88"/>
    <w:rsid w:val="00744817"/>
    <w:rsid w:val="0074489A"/>
    <w:rsid w:val="00746275"/>
    <w:rsid w:val="0074694D"/>
    <w:rsid w:val="00746A17"/>
    <w:rsid w:val="00746FEC"/>
    <w:rsid w:val="007479A9"/>
    <w:rsid w:val="00747D29"/>
    <w:rsid w:val="00750079"/>
    <w:rsid w:val="00750220"/>
    <w:rsid w:val="0075046A"/>
    <w:rsid w:val="00750AFF"/>
    <w:rsid w:val="00751311"/>
    <w:rsid w:val="007514FE"/>
    <w:rsid w:val="007544A3"/>
    <w:rsid w:val="00754978"/>
    <w:rsid w:val="00754EAC"/>
    <w:rsid w:val="00755272"/>
    <w:rsid w:val="007565C8"/>
    <w:rsid w:val="00760002"/>
    <w:rsid w:val="0076006F"/>
    <w:rsid w:val="007607C4"/>
    <w:rsid w:val="00760DA1"/>
    <w:rsid w:val="00761C0C"/>
    <w:rsid w:val="00762245"/>
    <w:rsid w:val="00762272"/>
    <w:rsid w:val="007636B1"/>
    <w:rsid w:val="00763C7F"/>
    <w:rsid w:val="007640A4"/>
    <w:rsid w:val="00764B4B"/>
    <w:rsid w:val="00764E1B"/>
    <w:rsid w:val="007655A5"/>
    <w:rsid w:val="0076635F"/>
    <w:rsid w:val="00766566"/>
    <w:rsid w:val="00767F91"/>
    <w:rsid w:val="00770185"/>
    <w:rsid w:val="00770DB4"/>
    <w:rsid w:val="00771B02"/>
    <w:rsid w:val="00771BF6"/>
    <w:rsid w:val="00772934"/>
    <w:rsid w:val="00772AE0"/>
    <w:rsid w:val="0077375E"/>
    <w:rsid w:val="00773F29"/>
    <w:rsid w:val="00774004"/>
    <w:rsid w:val="00774D58"/>
    <w:rsid w:val="00776912"/>
    <w:rsid w:val="00776952"/>
    <w:rsid w:val="00776E29"/>
    <w:rsid w:val="0077764C"/>
    <w:rsid w:val="007776DF"/>
    <w:rsid w:val="00780257"/>
    <w:rsid w:val="007827CC"/>
    <w:rsid w:val="00782E2A"/>
    <w:rsid w:val="00783163"/>
    <w:rsid w:val="00790158"/>
    <w:rsid w:val="0079059B"/>
    <w:rsid w:val="00791182"/>
    <w:rsid w:val="007911BB"/>
    <w:rsid w:val="00791241"/>
    <w:rsid w:val="00791372"/>
    <w:rsid w:val="00791ECD"/>
    <w:rsid w:val="007924B1"/>
    <w:rsid w:val="00792C06"/>
    <w:rsid w:val="00792D25"/>
    <w:rsid w:val="00793E6B"/>
    <w:rsid w:val="00794BB8"/>
    <w:rsid w:val="00795F48"/>
    <w:rsid w:val="00796375"/>
    <w:rsid w:val="007969FD"/>
    <w:rsid w:val="00796B64"/>
    <w:rsid w:val="00797174"/>
    <w:rsid w:val="00797917"/>
    <w:rsid w:val="007A0FDC"/>
    <w:rsid w:val="007A13A4"/>
    <w:rsid w:val="007A152E"/>
    <w:rsid w:val="007A1B3A"/>
    <w:rsid w:val="007A221E"/>
    <w:rsid w:val="007A2879"/>
    <w:rsid w:val="007A32B7"/>
    <w:rsid w:val="007A398D"/>
    <w:rsid w:val="007A46A3"/>
    <w:rsid w:val="007A4FF4"/>
    <w:rsid w:val="007A58BD"/>
    <w:rsid w:val="007A5906"/>
    <w:rsid w:val="007A70E9"/>
    <w:rsid w:val="007A7F2F"/>
    <w:rsid w:val="007B059C"/>
    <w:rsid w:val="007B119A"/>
    <w:rsid w:val="007B211A"/>
    <w:rsid w:val="007B29AB"/>
    <w:rsid w:val="007B475C"/>
    <w:rsid w:val="007B478E"/>
    <w:rsid w:val="007B629A"/>
    <w:rsid w:val="007B6C25"/>
    <w:rsid w:val="007B7D8A"/>
    <w:rsid w:val="007B7F17"/>
    <w:rsid w:val="007C0235"/>
    <w:rsid w:val="007C096F"/>
    <w:rsid w:val="007C1295"/>
    <w:rsid w:val="007C189E"/>
    <w:rsid w:val="007C1B5B"/>
    <w:rsid w:val="007C1C57"/>
    <w:rsid w:val="007C228B"/>
    <w:rsid w:val="007C2475"/>
    <w:rsid w:val="007C3065"/>
    <w:rsid w:val="007C394A"/>
    <w:rsid w:val="007C3DEF"/>
    <w:rsid w:val="007C3F5D"/>
    <w:rsid w:val="007C4F7E"/>
    <w:rsid w:val="007C56DE"/>
    <w:rsid w:val="007C5F27"/>
    <w:rsid w:val="007C6ECA"/>
    <w:rsid w:val="007C75C3"/>
    <w:rsid w:val="007C7DA0"/>
    <w:rsid w:val="007D00AB"/>
    <w:rsid w:val="007D03DF"/>
    <w:rsid w:val="007D094C"/>
    <w:rsid w:val="007D1444"/>
    <w:rsid w:val="007D2A2A"/>
    <w:rsid w:val="007D2BE2"/>
    <w:rsid w:val="007D3BE4"/>
    <w:rsid w:val="007D493C"/>
    <w:rsid w:val="007D5768"/>
    <w:rsid w:val="007D6560"/>
    <w:rsid w:val="007D6851"/>
    <w:rsid w:val="007D6D41"/>
    <w:rsid w:val="007D719B"/>
    <w:rsid w:val="007D7937"/>
    <w:rsid w:val="007E007A"/>
    <w:rsid w:val="007E0D8F"/>
    <w:rsid w:val="007E0E94"/>
    <w:rsid w:val="007E1355"/>
    <w:rsid w:val="007E14EE"/>
    <w:rsid w:val="007E2750"/>
    <w:rsid w:val="007E33D7"/>
    <w:rsid w:val="007E3733"/>
    <w:rsid w:val="007E3EC0"/>
    <w:rsid w:val="007E4061"/>
    <w:rsid w:val="007E4656"/>
    <w:rsid w:val="007E4B64"/>
    <w:rsid w:val="007E530B"/>
    <w:rsid w:val="007E578C"/>
    <w:rsid w:val="007E5E87"/>
    <w:rsid w:val="007E7C79"/>
    <w:rsid w:val="007F09B1"/>
    <w:rsid w:val="007F0BDB"/>
    <w:rsid w:val="007F0D77"/>
    <w:rsid w:val="007F15AD"/>
    <w:rsid w:val="007F1D0F"/>
    <w:rsid w:val="007F2C13"/>
    <w:rsid w:val="007F3244"/>
    <w:rsid w:val="007F3D74"/>
    <w:rsid w:val="007F3E9F"/>
    <w:rsid w:val="007F3FD0"/>
    <w:rsid w:val="007F42B9"/>
    <w:rsid w:val="007F444A"/>
    <w:rsid w:val="007F499A"/>
    <w:rsid w:val="007F4AC4"/>
    <w:rsid w:val="007F51EE"/>
    <w:rsid w:val="007F5991"/>
    <w:rsid w:val="007F5BFC"/>
    <w:rsid w:val="007F5F8C"/>
    <w:rsid w:val="007F676B"/>
    <w:rsid w:val="007F6985"/>
    <w:rsid w:val="007F6DA7"/>
    <w:rsid w:val="007F79EF"/>
    <w:rsid w:val="007F7EC3"/>
    <w:rsid w:val="00800416"/>
    <w:rsid w:val="008008CA"/>
    <w:rsid w:val="00801EA3"/>
    <w:rsid w:val="00802214"/>
    <w:rsid w:val="008022CC"/>
    <w:rsid w:val="008031F4"/>
    <w:rsid w:val="0080332B"/>
    <w:rsid w:val="008042E7"/>
    <w:rsid w:val="008043E5"/>
    <w:rsid w:val="0080596D"/>
    <w:rsid w:val="00805A9C"/>
    <w:rsid w:val="008067EE"/>
    <w:rsid w:val="00807301"/>
    <w:rsid w:val="00807D37"/>
    <w:rsid w:val="008114EE"/>
    <w:rsid w:val="0081186D"/>
    <w:rsid w:val="00811B68"/>
    <w:rsid w:val="00812AD7"/>
    <w:rsid w:val="00812FE6"/>
    <w:rsid w:val="00813AD2"/>
    <w:rsid w:val="00814828"/>
    <w:rsid w:val="008149D6"/>
    <w:rsid w:val="00815E6D"/>
    <w:rsid w:val="00815EE6"/>
    <w:rsid w:val="00816340"/>
    <w:rsid w:val="00816426"/>
    <w:rsid w:val="0081644F"/>
    <w:rsid w:val="00816A08"/>
    <w:rsid w:val="00816EED"/>
    <w:rsid w:val="008170D9"/>
    <w:rsid w:val="008173C7"/>
    <w:rsid w:val="0081780A"/>
    <w:rsid w:val="008203AA"/>
    <w:rsid w:val="008203AE"/>
    <w:rsid w:val="00820852"/>
    <w:rsid w:val="008216A3"/>
    <w:rsid w:val="00821FB6"/>
    <w:rsid w:val="00822601"/>
    <w:rsid w:val="008250B2"/>
    <w:rsid w:val="00826381"/>
    <w:rsid w:val="00826A2F"/>
    <w:rsid w:val="00826AE4"/>
    <w:rsid w:val="00827008"/>
    <w:rsid w:val="00827844"/>
    <w:rsid w:val="00831573"/>
    <w:rsid w:val="008316D5"/>
    <w:rsid w:val="0083193C"/>
    <w:rsid w:val="00831CCA"/>
    <w:rsid w:val="00832A42"/>
    <w:rsid w:val="00832B4D"/>
    <w:rsid w:val="00832BC8"/>
    <w:rsid w:val="0083317F"/>
    <w:rsid w:val="008338F8"/>
    <w:rsid w:val="008343EA"/>
    <w:rsid w:val="0083491A"/>
    <w:rsid w:val="00834D3C"/>
    <w:rsid w:val="0083637F"/>
    <w:rsid w:val="00836A43"/>
    <w:rsid w:val="00836B51"/>
    <w:rsid w:val="0083795A"/>
    <w:rsid w:val="00837B33"/>
    <w:rsid w:val="00837FCD"/>
    <w:rsid w:val="008403F8"/>
    <w:rsid w:val="008406E8"/>
    <w:rsid w:val="00840EC7"/>
    <w:rsid w:val="008415B3"/>
    <w:rsid w:val="00841D7A"/>
    <w:rsid w:val="00842E1A"/>
    <w:rsid w:val="00842F67"/>
    <w:rsid w:val="00843492"/>
    <w:rsid w:val="008437E0"/>
    <w:rsid w:val="008446FE"/>
    <w:rsid w:val="008468D8"/>
    <w:rsid w:val="008503C7"/>
    <w:rsid w:val="00851992"/>
    <w:rsid w:val="00851EDE"/>
    <w:rsid w:val="00851FA7"/>
    <w:rsid w:val="00851FB3"/>
    <w:rsid w:val="00852191"/>
    <w:rsid w:val="008526FB"/>
    <w:rsid w:val="00852986"/>
    <w:rsid w:val="00852AF9"/>
    <w:rsid w:val="0085345D"/>
    <w:rsid w:val="00854626"/>
    <w:rsid w:val="00854741"/>
    <w:rsid w:val="00855A27"/>
    <w:rsid w:val="00855CC5"/>
    <w:rsid w:val="00856F5A"/>
    <w:rsid w:val="00857577"/>
    <w:rsid w:val="008601A5"/>
    <w:rsid w:val="00860528"/>
    <w:rsid w:val="00860DEB"/>
    <w:rsid w:val="00860ED5"/>
    <w:rsid w:val="00862950"/>
    <w:rsid w:val="00863366"/>
    <w:rsid w:val="00863530"/>
    <w:rsid w:val="008639FA"/>
    <w:rsid w:val="00863E3C"/>
    <w:rsid w:val="0086437A"/>
    <w:rsid w:val="00865C2D"/>
    <w:rsid w:val="00865DC4"/>
    <w:rsid w:val="00866D8E"/>
    <w:rsid w:val="008679AF"/>
    <w:rsid w:val="00867D64"/>
    <w:rsid w:val="00870652"/>
    <w:rsid w:val="00870846"/>
    <w:rsid w:val="008708EC"/>
    <w:rsid w:val="00871101"/>
    <w:rsid w:val="00871252"/>
    <w:rsid w:val="008714F1"/>
    <w:rsid w:val="00871A65"/>
    <w:rsid w:val="008724FC"/>
    <w:rsid w:val="0087273A"/>
    <w:rsid w:val="00872D97"/>
    <w:rsid w:val="008739DC"/>
    <w:rsid w:val="00873DA6"/>
    <w:rsid w:val="00875E54"/>
    <w:rsid w:val="00877548"/>
    <w:rsid w:val="008775D5"/>
    <w:rsid w:val="0088025B"/>
    <w:rsid w:val="0088047F"/>
    <w:rsid w:val="008805DD"/>
    <w:rsid w:val="00880A16"/>
    <w:rsid w:val="00880E5D"/>
    <w:rsid w:val="00881C04"/>
    <w:rsid w:val="00881DA8"/>
    <w:rsid w:val="008820C0"/>
    <w:rsid w:val="008821C4"/>
    <w:rsid w:val="00883E75"/>
    <w:rsid w:val="008840B8"/>
    <w:rsid w:val="0088474C"/>
    <w:rsid w:val="00884A7F"/>
    <w:rsid w:val="00884C75"/>
    <w:rsid w:val="00885245"/>
    <w:rsid w:val="008853D3"/>
    <w:rsid w:val="00886791"/>
    <w:rsid w:val="00886D16"/>
    <w:rsid w:val="0088703D"/>
    <w:rsid w:val="00887A39"/>
    <w:rsid w:val="008900E1"/>
    <w:rsid w:val="00890978"/>
    <w:rsid w:val="00890CB6"/>
    <w:rsid w:val="00890E7D"/>
    <w:rsid w:val="00891A84"/>
    <w:rsid w:val="0089294C"/>
    <w:rsid w:val="0089372C"/>
    <w:rsid w:val="00894050"/>
    <w:rsid w:val="0089418D"/>
    <w:rsid w:val="0089436A"/>
    <w:rsid w:val="00894A16"/>
    <w:rsid w:val="00894EBE"/>
    <w:rsid w:val="00894F56"/>
    <w:rsid w:val="00895870"/>
    <w:rsid w:val="00896932"/>
    <w:rsid w:val="00897941"/>
    <w:rsid w:val="00897BC9"/>
    <w:rsid w:val="00897C98"/>
    <w:rsid w:val="00897E80"/>
    <w:rsid w:val="008A003B"/>
    <w:rsid w:val="008A0555"/>
    <w:rsid w:val="008A1943"/>
    <w:rsid w:val="008A22E6"/>
    <w:rsid w:val="008A3B6E"/>
    <w:rsid w:val="008A3E1A"/>
    <w:rsid w:val="008A42BE"/>
    <w:rsid w:val="008A484B"/>
    <w:rsid w:val="008A4EDA"/>
    <w:rsid w:val="008A5C13"/>
    <w:rsid w:val="008A6443"/>
    <w:rsid w:val="008A7753"/>
    <w:rsid w:val="008A7FEA"/>
    <w:rsid w:val="008B0414"/>
    <w:rsid w:val="008B0542"/>
    <w:rsid w:val="008B4384"/>
    <w:rsid w:val="008B4514"/>
    <w:rsid w:val="008B5240"/>
    <w:rsid w:val="008B59E3"/>
    <w:rsid w:val="008B5A4C"/>
    <w:rsid w:val="008B5EDC"/>
    <w:rsid w:val="008B64CF"/>
    <w:rsid w:val="008B6A9C"/>
    <w:rsid w:val="008B6CBB"/>
    <w:rsid w:val="008B6DDF"/>
    <w:rsid w:val="008B7EB0"/>
    <w:rsid w:val="008C04C3"/>
    <w:rsid w:val="008C0DDC"/>
    <w:rsid w:val="008C1ACF"/>
    <w:rsid w:val="008C1C32"/>
    <w:rsid w:val="008C2462"/>
    <w:rsid w:val="008C2680"/>
    <w:rsid w:val="008C2891"/>
    <w:rsid w:val="008C2A14"/>
    <w:rsid w:val="008C2A88"/>
    <w:rsid w:val="008C2ECF"/>
    <w:rsid w:val="008C348B"/>
    <w:rsid w:val="008C34EB"/>
    <w:rsid w:val="008C3F38"/>
    <w:rsid w:val="008C462F"/>
    <w:rsid w:val="008C469C"/>
    <w:rsid w:val="008C4EC6"/>
    <w:rsid w:val="008C508D"/>
    <w:rsid w:val="008C5FAC"/>
    <w:rsid w:val="008C6070"/>
    <w:rsid w:val="008C756D"/>
    <w:rsid w:val="008D217C"/>
    <w:rsid w:val="008D41D2"/>
    <w:rsid w:val="008D41E6"/>
    <w:rsid w:val="008D48B7"/>
    <w:rsid w:val="008D510C"/>
    <w:rsid w:val="008D7209"/>
    <w:rsid w:val="008D761F"/>
    <w:rsid w:val="008D767A"/>
    <w:rsid w:val="008D7FAA"/>
    <w:rsid w:val="008E075A"/>
    <w:rsid w:val="008E08E6"/>
    <w:rsid w:val="008E0BA0"/>
    <w:rsid w:val="008E267B"/>
    <w:rsid w:val="008E2686"/>
    <w:rsid w:val="008E2737"/>
    <w:rsid w:val="008E2FDD"/>
    <w:rsid w:val="008E30C1"/>
    <w:rsid w:val="008E3E40"/>
    <w:rsid w:val="008E4293"/>
    <w:rsid w:val="008E4354"/>
    <w:rsid w:val="008E5902"/>
    <w:rsid w:val="008E5CB5"/>
    <w:rsid w:val="008E776A"/>
    <w:rsid w:val="008F0F7E"/>
    <w:rsid w:val="008F180C"/>
    <w:rsid w:val="008F18F5"/>
    <w:rsid w:val="008F1C47"/>
    <w:rsid w:val="008F1D94"/>
    <w:rsid w:val="008F2674"/>
    <w:rsid w:val="008F2F93"/>
    <w:rsid w:val="008F3DBA"/>
    <w:rsid w:val="008F3EFE"/>
    <w:rsid w:val="008F522D"/>
    <w:rsid w:val="008F5C36"/>
    <w:rsid w:val="008F6497"/>
    <w:rsid w:val="008F65F6"/>
    <w:rsid w:val="008F6885"/>
    <w:rsid w:val="008F6975"/>
    <w:rsid w:val="008F7A64"/>
    <w:rsid w:val="0090092D"/>
    <w:rsid w:val="00901BAC"/>
    <w:rsid w:val="00902027"/>
    <w:rsid w:val="00902735"/>
    <w:rsid w:val="00902B2D"/>
    <w:rsid w:val="00902DCE"/>
    <w:rsid w:val="0090373A"/>
    <w:rsid w:val="009042CF"/>
    <w:rsid w:val="0090478D"/>
    <w:rsid w:val="009053D3"/>
    <w:rsid w:val="00906B9A"/>
    <w:rsid w:val="00910724"/>
    <w:rsid w:val="0091101A"/>
    <w:rsid w:val="00911031"/>
    <w:rsid w:val="009116F4"/>
    <w:rsid w:val="00911813"/>
    <w:rsid w:val="0091224A"/>
    <w:rsid w:val="009124B0"/>
    <w:rsid w:val="00912CD3"/>
    <w:rsid w:val="00912CE0"/>
    <w:rsid w:val="00912E6E"/>
    <w:rsid w:val="009134FB"/>
    <w:rsid w:val="009136BA"/>
    <w:rsid w:val="00913716"/>
    <w:rsid w:val="00913C0E"/>
    <w:rsid w:val="00913F6B"/>
    <w:rsid w:val="009148F9"/>
    <w:rsid w:val="0091495B"/>
    <w:rsid w:val="00915AE2"/>
    <w:rsid w:val="00915C37"/>
    <w:rsid w:val="00915F15"/>
    <w:rsid w:val="00916045"/>
    <w:rsid w:val="009166D7"/>
    <w:rsid w:val="00916829"/>
    <w:rsid w:val="009169AC"/>
    <w:rsid w:val="009178E4"/>
    <w:rsid w:val="00917E3C"/>
    <w:rsid w:val="00920795"/>
    <w:rsid w:val="0092098B"/>
    <w:rsid w:val="009209D7"/>
    <w:rsid w:val="00920BE1"/>
    <w:rsid w:val="00920DCD"/>
    <w:rsid w:val="00921D03"/>
    <w:rsid w:val="009224DE"/>
    <w:rsid w:val="0092311D"/>
    <w:rsid w:val="00923854"/>
    <w:rsid w:val="00924D07"/>
    <w:rsid w:val="00925906"/>
    <w:rsid w:val="009272E5"/>
    <w:rsid w:val="009277EB"/>
    <w:rsid w:val="0092798A"/>
    <w:rsid w:val="009302B1"/>
    <w:rsid w:val="00930329"/>
    <w:rsid w:val="00930789"/>
    <w:rsid w:val="0093127D"/>
    <w:rsid w:val="00932CB8"/>
    <w:rsid w:val="00932E4E"/>
    <w:rsid w:val="0093321D"/>
    <w:rsid w:val="009332E6"/>
    <w:rsid w:val="009340C4"/>
    <w:rsid w:val="009344C5"/>
    <w:rsid w:val="0093463A"/>
    <w:rsid w:val="009349C3"/>
    <w:rsid w:val="00935027"/>
    <w:rsid w:val="00936CDB"/>
    <w:rsid w:val="009378FE"/>
    <w:rsid w:val="00937D8D"/>
    <w:rsid w:val="009406F9"/>
    <w:rsid w:val="00940C7B"/>
    <w:rsid w:val="00947DEA"/>
    <w:rsid w:val="00947F19"/>
    <w:rsid w:val="009500DD"/>
    <w:rsid w:val="009504A8"/>
    <w:rsid w:val="0095138B"/>
    <w:rsid w:val="00952272"/>
    <w:rsid w:val="0095286F"/>
    <w:rsid w:val="00953767"/>
    <w:rsid w:val="00953EB5"/>
    <w:rsid w:val="00953F9B"/>
    <w:rsid w:val="0095418F"/>
    <w:rsid w:val="00955481"/>
    <w:rsid w:val="00956350"/>
    <w:rsid w:val="009564D6"/>
    <w:rsid w:val="0095779B"/>
    <w:rsid w:val="009579F9"/>
    <w:rsid w:val="00960539"/>
    <w:rsid w:val="00961AA7"/>
    <w:rsid w:val="00962939"/>
    <w:rsid w:val="00962BB8"/>
    <w:rsid w:val="00962FCF"/>
    <w:rsid w:val="00963436"/>
    <w:rsid w:val="0096408F"/>
    <w:rsid w:val="00964FB2"/>
    <w:rsid w:val="0096513C"/>
    <w:rsid w:val="00966723"/>
    <w:rsid w:val="00966A31"/>
    <w:rsid w:val="00966B1B"/>
    <w:rsid w:val="00966CBB"/>
    <w:rsid w:val="0096772F"/>
    <w:rsid w:val="009678C7"/>
    <w:rsid w:val="009724D1"/>
    <w:rsid w:val="00972899"/>
    <w:rsid w:val="00973055"/>
    <w:rsid w:val="00973B83"/>
    <w:rsid w:val="00973DF4"/>
    <w:rsid w:val="00975A11"/>
    <w:rsid w:val="00976F41"/>
    <w:rsid w:val="009771E4"/>
    <w:rsid w:val="00977C6F"/>
    <w:rsid w:val="0098051F"/>
    <w:rsid w:val="00980C9A"/>
    <w:rsid w:val="00982303"/>
    <w:rsid w:val="00983050"/>
    <w:rsid w:val="0098324B"/>
    <w:rsid w:val="00983EAF"/>
    <w:rsid w:val="00984415"/>
    <w:rsid w:val="00984954"/>
    <w:rsid w:val="0098572C"/>
    <w:rsid w:val="00985E7B"/>
    <w:rsid w:val="00987526"/>
    <w:rsid w:val="009903BA"/>
    <w:rsid w:val="00990655"/>
    <w:rsid w:val="00990D7B"/>
    <w:rsid w:val="00990E06"/>
    <w:rsid w:val="009911EB"/>
    <w:rsid w:val="00991674"/>
    <w:rsid w:val="009919D1"/>
    <w:rsid w:val="00992AB6"/>
    <w:rsid w:val="00994830"/>
    <w:rsid w:val="00995FA6"/>
    <w:rsid w:val="009964FB"/>
    <w:rsid w:val="0099657B"/>
    <w:rsid w:val="00996799"/>
    <w:rsid w:val="00997582"/>
    <w:rsid w:val="00997E8B"/>
    <w:rsid w:val="00997F18"/>
    <w:rsid w:val="00997FAA"/>
    <w:rsid w:val="009A02C8"/>
    <w:rsid w:val="009A3BA3"/>
    <w:rsid w:val="009A451D"/>
    <w:rsid w:val="009A4C04"/>
    <w:rsid w:val="009A5199"/>
    <w:rsid w:val="009A62F0"/>
    <w:rsid w:val="009A6546"/>
    <w:rsid w:val="009A6A00"/>
    <w:rsid w:val="009A77D1"/>
    <w:rsid w:val="009B0305"/>
    <w:rsid w:val="009B05A7"/>
    <w:rsid w:val="009B0FF0"/>
    <w:rsid w:val="009B1341"/>
    <w:rsid w:val="009B2873"/>
    <w:rsid w:val="009B2A0A"/>
    <w:rsid w:val="009B46F9"/>
    <w:rsid w:val="009B475E"/>
    <w:rsid w:val="009B5DE4"/>
    <w:rsid w:val="009B60E1"/>
    <w:rsid w:val="009B6BBA"/>
    <w:rsid w:val="009B7020"/>
    <w:rsid w:val="009B71BC"/>
    <w:rsid w:val="009B72AB"/>
    <w:rsid w:val="009B74FE"/>
    <w:rsid w:val="009B7739"/>
    <w:rsid w:val="009B79F8"/>
    <w:rsid w:val="009B7A86"/>
    <w:rsid w:val="009C001F"/>
    <w:rsid w:val="009C22EC"/>
    <w:rsid w:val="009C27BC"/>
    <w:rsid w:val="009C2D54"/>
    <w:rsid w:val="009C407D"/>
    <w:rsid w:val="009C4E30"/>
    <w:rsid w:val="009C4F45"/>
    <w:rsid w:val="009C581A"/>
    <w:rsid w:val="009C5D6A"/>
    <w:rsid w:val="009C5EA9"/>
    <w:rsid w:val="009C7371"/>
    <w:rsid w:val="009C771E"/>
    <w:rsid w:val="009D00D7"/>
    <w:rsid w:val="009D074C"/>
    <w:rsid w:val="009D1851"/>
    <w:rsid w:val="009D24E9"/>
    <w:rsid w:val="009D2855"/>
    <w:rsid w:val="009D4171"/>
    <w:rsid w:val="009D4290"/>
    <w:rsid w:val="009D44F5"/>
    <w:rsid w:val="009D5761"/>
    <w:rsid w:val="009D61BB"/>
    <w:rsid w:val="009D675B"/>
    <w:rsid w:val="009D68AD"/>
    <w:rsid w:val="009D6A64"/>
    <w:rsid w:val="009D7321"/>
    <w:rsid w:val="009E09D1"/>
    <w:rsid w:val="009E0C3E"/>
    <w:rsid w:val="009E1359"/>
    <w:rsid w:val="009E1FCE"/>
    <w:rsid w:val="009E2A0A"/>
    <w:rsid w:val="009E2FE9"/>
    <w:rsid w:val="009E35CA"/>
    <w:rsid w:val="009E3974"/>
    <w:rsid w:val="009E3DFA"/>
    <w:rsid w:val="009E3F22"/>
    <w:rsid w:val="009E4BFF"/>
    <w:rsid w:val="009E4E80"/>
    <w:rsid w:val="009E594A"/>
    <w:rsid w:val="009E670A"/>
    <w:rsid w:val="009E7012"/>
    <w:rsid w:val="009F0657"/>
    <w:rsid w:val="009F0B25"/>
    <w:rsid w:val="009F0BCF"/>
    <w:rsid w:val="009F1380"/>
    <w:rsid w:val="009F1A7D"/>
    <w:rsid w:val="009F47FC"/>
    <w:rsid w:val="009F4819"/>
    <w:rsid w:val="009F51E4"/>
    <w:rsid w:val="009F5252"/>
    <w:rsid w:val="009F59F4"/>
    <w:rsid w:val="009F6173"/>
    <w:rsid w:val="009F6D8C"/>
    <w:rsid w:val="009F7078"/>
    <w:rsid w:val="009F71BE"/>
    <w:rsid w:val="009F725A"/>
    <w:rsid w:val="009F763B"/>
    <w:rsid w:val="00A00870"/>
    <w:rsid w:val="00A013ED"/>
    <w:rsid w:val="00A01463"/>
    <w:rsid w:val="00A01C00"/>
    <w:rsid w:val="00A01EFC"/>
    <w:rsid w:val="00A02C4C"/>
    <w:rsid w:val="00A02D8D"/>
    <w:rsid w:val="00A03DD0"/>
    <w:rsid w:val="00A04290"/>
    <w:rsid w:val="00A0430A"/>
    <w:rsid w:val="00A045B5"/>
    <w:rsid w:val="00A04755"/>
    <w:rsid w:val="00A0568E"/>
    <w:rsid w:val="00A05CBA"/>
    <w:rsid w:val="00A05FF5"/>
    <w:rsid w:val="00A0664F"/>
    <w:rsid w:val="00A07DA6"/>
    <w:rsid w:val="00A1013E"/>
    <w:rsid w:val="00A10DF8"/>
    <w:rsid w:val="00A113F7"/>
    <w:rsid w:val="00A1200D"/>
    <w:rsid w:val="00A13A10"/>
    <w:rsid w:val="00A14068"/>
    <w:rsid w:val="00A14198"/>
    <w:rsid w:val="00A14640"/>
    <w:rsid w:val="00A16178"/>
    <w:rsid w:val="00A162D2"/>
    <w:rsid w:val="00A16C0C"/>
    <w:rsid w:val="00A16D84"/>
    <w:rsid w:val="00A17453"/>
    <w:rsid w:val="00A17930"/>
    <w:rsid w:val="00A17EC2"/>
    <w:rsid w:val="00A17FE9"/>
    <w:rsid w:val="00A20FD4"/>
    <w:rsid w:val="00A218E1"/>
    <w:rsid w:val="00A22C1F"/>
    <w:rsid w:val="00A23211"/>
    <w:rsid w:val="00A24924"/>
    <w:rsid w:val="00A24C16"/>
    <w:rsid w:val="00A255FF"/>
    <w:rsid w:val="00A25B77"/>
    <w:rsid w:val="00A25F28"/>
    <w:rsid w:val="00A26567"/>
    <w:rsid w:val="00A279B4"/>
    <w:rsid w:val="00A27BA8"/>
    <w:rsid w:val="00A27E98"/>
    <w:rsid w:val="00A30451"/>
    <w:rsid w:val="00A30910"/>
    <w:rsid w:val="00A30A7F"/>
    <w:rsid w:val="00A3150F"/>
    <w:rsid w:val="00A31597"/>
    <w:rsid w:val="00A32D62"/>
    <w:rsid w:val="00A32F0A"/>
    <w:rsid w:val="00A33CE5"/>
    <w:rsid w:val="00A3488B"/>
    <w:rsid w:val="00A3490B"/>
    <w:rsid w:val="00A353FE"/>
    <w:rsid w:val="00A361CC"/>
    <w:rsid w:val="00A3695F"/>
    <w:rsid w:val="00A36D0D"/>
    <w:rsid w:val="00A3752A"/>
    <w:rsid w:val="00A375EE"/>
    <w:rsid w:val="00A408CC"/>
    <w:rsid w:val="00A4161D"/>
    <w:rsid w:val="00A41BB7"/>
    <w:rsid w:val="00A4317C"/>
    <w:rsid w:val="00A434AA"/>
    <w:rsid w:val="00A465A0"/>
    <w:rsid w:val="00A4768C"/>
    <w:rsid w:val="00A4795F"/>
    <w:rsid w:val="00A5062D"/>
    <w:rsid w:val="00A50BEB"/>
    <w:rsid w:val="00A50F8D"/>
    <w:rsid w:val="00A5154F"/>
    <w:rsid w:val="00A5190D"/>
    <w:rsid w:val="00A51A24"/>
    <w:rsid w:val="00A535E8"/>
    <w:rsid w:val="00A54411"/>
    <w:rsid w:val="00A54510"/>
    <w:rsid w:val="00A55186"/>
    <w:rsid w:val="00A56356"/>
    <w:rsid w:val="00A568CF"/>
    <w:rsid w:val="00A571DC"/>
    <w:rsid w:val="00A5757F"/>
    <w:rsid w:val="00A57750"/>
    <w:rsid w:val="00A57884"/>
    <w:rsid w:val="00A57E9F"/>
    <w:rsid w:val="00A606A7"/>
    <w:rsid w:val="00A60CA9"/>
    <w:rsid w:val="00A610CB"/>
    <w:rsid w:val="00A6139F"/>
    <w:rsid w:val="00A61C46"/>
    <w:rsid w:val="00A623D0"/>
    <w:rsid w:val="00A6352F"/>
    <w:rsid w:val="00A63BC2"/>
    <w:rsid w:val="00A63E42"/>
    <w:rsid w:val="00A64194"/>
    <w:rsid w:val="00A65DF3"/>
    <w:rsid w:val="00A66801"/>
    <w:rsid w:val="00A66F08"/>
    <w:rsid w:val="00A6786F"/>
    <w:rsid w:val="00A678C3"/>
    <w:rsid w:val="00A704C3"/>
    <w:rsid w:val="00A70557"/>
    <w:rsid w:val="00A71D57"/>
    <w:rsid w:val="00A7209C"/>
    <w:rsid w:val="00A728A2"/>
    <w:rsid w:val="00A72988"/>
    <w:rsid w:val="00A73145"/>
    <w:rsid w:val="00A7397C"/>
    <w:rsid w:val="00A75093"/>
    <w:rsid w:val="00A751FF"/>
    <w:rsid w:val="00A75C8F"/>
    <w:rsid w:val="00A75EA2"/>
    <w:rsid w:val="00A76878"/>
    <w:rsid w:val="00A76A78"/>
    <w:rsid w:val="00A76D89"/>
    <w:rsid w:val="00A771CC"/>
    <w:rsid w:val="00A77437"/>
    <w:rsid w:val="00A77510"/>
    <w:rsid w:val="00A80328"/>
    <w:rsid w:val="00A8068F"/>
    <w:rsid w:val="00A80D56"/>
    <w:rsid w:val="00A81511"/>
    <w:rsid w:val="00A81C44"/>
    <w:rsid w:val="00A81E75"/>
    <w:rsid w:val="00A8257C"/>
    <w:rsid w:val="00A82963"/>
    <w:rsid w:val="00A832EC"/>
    <w:rsid w:val="00A84065"/>
    <w:rsid w:val="00A84C2A"/>
    <w:rsid w:val="00A84DAF"/>
    <w:rsid w:val="00A84DB8"/>
    <w:rsid w:val="00A85745"/>
    <w:rsid w:val="00A86C2C"/>
    <w:rsid w:val="00A90BBD"/>
    <w:rsid w:val="00A90CC0"/>
    <w:rsid w:val="00A90D26"/>
    <w:rsid w:val="00A931CB"/>
    <w:rsid w:val="00A935BA"/>
    <w:rsid w:val="00A938F8"/>
    <w:rsid w:val="00A93C88"/>
    <w:rsid w:val="00A94D45"/>
    <w:rsid w:val="00A953E6"/>
    <w:rsid w:val="00A95433"/>
    <w:rsid w:val="00A9567E"/>
    <w:rsid w:val="00A97EAD"/>
    <w:rsid w:val="00AA0A16"/>
    <w:rsid w:val="00AA18DC"/>
    <w:rsid w:val="00AA1ADA"/>
    <w:rsid w:val="00AA2E18"/>
    <w:rsid w:val="00AA55DE"/>
    <w:rsid w:val="00AA5E41"/>
    <w:rsid w:val="00AA5E61"/>
    <w:rsid w:val="00AA6514"/>
    <w:rsid w:val="00AA7244"/>
    <w:rsid w:val="00AB023C"/>
    <w:rsid w:val="00AB06D7"/>
    <w:rsid w:val="00AB0D1D"/>
    <w:rsid w:val="00AB16E4"/>
    <w:rsid w:val="00AB23CC"/>
    <w:rsid w:val="00AB2C66"/>
    <w:rsid w:val="00AB396E"/>
    <w:rsid w:val="00AB3D73"/>
    <w:rsid w:val="00AB43FA"/>
    <w:rsid w:val="00AB49E0"/>
    <w:rsid w:val="00AB5D60"/>
    <w:rsid w:val="00AB62CF"/>
    <w:rsid w:val="00AB6447"/>
    <w:rsid w:val="00AB76B2"/>
    <w:rsid w:val="00AC1F92"/>
    <w:rsid w:val="00AC1FDB"/>
    <w:rsid w:val="00AC3214"/>
    <w:rsid w:val="00AC4C2A"/>
    <w:rsid w:val="00AC5214"/>
    <w:rsid w:val="00AC5283"/>
    <w:rsid w:val="00AC5C33"/>
    <w:rsid w:val="00AD1D1F"/>
    <w:rsid w:val="00AD3095"/>
    <w:rsid w:val="00AD376E"/>
    <w:rsid w:val="00AD391F"/>
    <w:rsid w:val="00AD4120"/>
    <w:rsid w:val="00AD64A6"/>
    <w:rsid w:val="00AD780A"/>
    <w:rsid w:val="00AE001A"/>
    <w:rsid w:val="00AE026D"/>
    <w:rsid w:val="00AE0714"/>
    <w:rsid w:val="00AE33A0"/>
    <w:rsid w:val="00AE36D9"/>
    <w:rsid w:val="00AE377F"/>
    <w:rsid w:val="00AE3C19"/>
    <w:rsid w:val="00AE4392"/>
    <w:rsid w:val="00AE44E4"/>
    <w:rsid w:val="00AE4EB8"/>
    <w:rsid w:val="00AE6491"/>
    <w:rsid w:val="00AF07E1"/>
    <w:rsid w:val="00AF0A5A"/>
    <w:rsid w:val="00AF1347"/>
    <w:rsid w:val="00AF1A2E"/>
    <w:rsid w:val="00AF1BB8"/>
    <w:rsid w:val="00AF1DCE"/>
    <w:rsid w:val="00AF4B29"/>
    <w:rsid w:val="00AF4F30"/>
    <w:rsid w:val="00AF5B8E"/>
    <w:rsid w:val="00AF7367"/>
    <w:rsid w:val="00AF7783"/>
    <w:rsid w:val="00B01E77"/>
    <w:rsid w:val="00B021B5"/>
    <w:rsid w:val="00B02663"/>
    <w:rsid w:val="00B02900"/>
    <w:rsid w:val="00B044BF"/>
    <w:rsid w:val="00B04C7C"/>
    <w:rsid w:val="00B04D6E"/>
    <w:rsid w:val="00B05A64"/>
    <w:rsid w:val="00B06A07"/>
    <w:rsid w:val="00B06E71"/>
    <w:rsid w:val="00B06FD4"/>
    <w:rsid w:val="00B07E4B"/>
    <w:rsid w:val="00B10205"/>
    <w:rsid w:val="00B10CDB"/>
    <w:rsid w:val="00B110C7"/>
    <w:rsid w:val="00B114E1"/>
    <w:rsid w:val="00B11A13"/>
    <w:rsid w:val="00B1208D"/>
    <w:rsid w:val="00B12227"/>
    <w:rsid w:val="00B12B49"/>
    <w:rsid w:val="00B131CD"/>
    <w:rsid w:val="00B13485"/>
    <w:rsid w:val="00B135F8"/>
    <w:rsid w:val="00B14383"/>
    <w:rsid w:val="00B15157"/>
    <w:rsid w:val="00B154BA"/>
    <w:rsid w:val="00B1603A"/>
    <w:rsid w:val="00B1634B"/>
    <w:rsid w:val="00B16611"/>
    <w:rsid w:val="00B17ECF"/>
    <w:rsid w:val="00B2070F"/>
    <w:rsid w:val="00B216B1"/>
    <w:rsid w:val="00B2180B"/>
    <w:rsid w:val="00B21F40"/>
    <w:rsid w:val="00B22795"/>
    <w:rsid w:val="00B22CCC"/>
    <w:rsid w:val="00B23900"/>
    <w:rsid w:val="00B23D55"/>
    <w:rsid w:val="00B242E6"/>
    <w:rsid w:val="00B255BC"/>
    <w:rsid w:val="00B26418"/>
    <w:rsid w:val="00B27391"/>
    <w:rsid w:val="00B273EA"/>
    <w:rsid w:val="00B27F1C"/>
    <w:rsid w:val="00B308C6"/>
    <w:rsid w:val="00B319DB"/>
    <w:rsid w:val="00B321EB"/>
    <w:rsid w:val="00B32F69"/>
    <w:rsid w:val="00B33442"/>
    <w:rsid w:val="00B33855"/>
    <w:rsid w:val="00B33C40"/>
    <w:rsid w:val="00B34062"/>
    <w:rsid w:val="00B3439C"/>
    <w:rsid w:val="00B34B1F"/>
    <w:rsid w:val="00B34E6B"/>
    <w:rsid w:val="00B34F39"/>
    <w:rsid w:val="00B35A44"/>
    <w:rsid w:val="00B35B00"/>
    <w:rsid w:val="00B35C78"/>
    <w:rsid w:val="00B36BD8"/>
    <w:rsid w:val="00B37486"/>
    <w:rsid w:val="00B37E20"/>
    <w:rsid w:val="00B4025B"/>
    <w:rsid w:val="00B402FB"/>
    <w:rsid w:val="00B403DE"/>
    <w:rsid w:val="00B4047F"/>
    <w:rsid w:val="00B41FB3"/>
    <w:rsid w:val="00B4209D"/>
    <w:rsid w:val="00B42481"/>
    <w:rsid w:val="00B428EB"/>
    <w:rsid w:val="00B428F2"/>
    <w:rsid w:val="00B433AF"/>
    <w:rsid w:val="00B435FC"/>
    <w:rsid w:val="00B43B02"/>
    <w:rsid w:val="00B440C5"/>
    <w:rsid w:val="00B44642"/>
    <w:rsid w:val="00B450E4"/>
    <w:rsid w:val="00B4562B"/>
    <w:rsid w:val="00B45B00"/>
    <w:rsid w:val="00B467B1"/>
    <w:rsid w:val="00B47536"/>
    <w:rsid w:val="00B50613"/>
    <w:rsid w:val="00B506FA"/>
    <w:rsid w:val="00B5093E"/>
    <w:rsid w:val="00B50AE0"/>
    <w:rsid w:val="00B51121"/>
    <w:rsid w:val="00B52934"/>
    <w:rsid w:val="00B52B93"/>
    <w:rsid w:val="00B5394B"/>
    <w:rsid w:val="00B53AEF"/>
    <w:rsid w:val="00B54329"/>
    <w:rsid w:val="00B54D89"/>
    <w:rsid w:val="00B557F2"/>
    <w:rsid w:val="00B5596F"/>
    <w:rsid w:val="00B55DA8"/>
    <w:rsid w:val="00B57183"/>
    <w:rsid w:val="00B574BA"/>
    <w:rsid w:val="00B577FD"/>
    <w:rsid w:val="00B60190"/>
    <w:rsid w:val="00B604F4"/>
    <w:rsid w:val="00B60DB7"/>
    <w:rsid w:val="00B610D2"/>
    <w:rsid w:val="00B61BF8"/>
    <w:rsid w:val="00B62775"/>
    <w:rsid w:val="00B6381A"/>
    <w:rsid w:val="00B63EA2"/>
    <w:rsid w:val="00B654D5"/>
    <w:rsid w:val="00B6568C"/>
    <w:rsid w:val="00B6569B"/>
    <w:rsid w:val="00B66C15"/>
    <w:rsid w:val="00B66D08"/>
    <w:rsid w:val="00B66F9B"/>
    <w:rsid w:val="00B675C0"/>
    <w:rsid w:val="00B67845"/>
    <w:rsid w:val="00B67B51"/>
    <w:rsid w:val="00B67D67"/>
    <w:rsid w:val="00B701B7"/>
    <w:rsid w:val="00B7021F"/>
    <w:rsid w:val="00B70541"/>
    <w:rsid w:val="00B70EAB"/>
    <w:rsid w:val="00B72015"/>
    <w:rsid w:val="00B724D4"/>
    <w:rsid w:val="00B7287E"/>
    <w:rsid w:val="00B74FE8"/>
    <w:rsid w:val="00B75AB8"/>
    <w:rsid w:val="00B762D5"/>
    <w:rsid w:val="00B7691E"/>
    <w:rsid w:val="00B779DC"/>
    <w:rsid w:val="00B77B21"/>
    <w:rsid w:val="00B805DE"/>
    <w:rsid w:val="00B809B2"/>
    <w:rsid w:val="00B80B0B"/>
    <w:rsid w:val="00B82526"/>
    <w:rsid w:val="00B83540"/>
    <w:rsid w:val="00B837E1"/>
    <w:rsid w:val="00B84364"/>
    <w:rsid w:val="00B84B13"/>
    <w:rsid w:val="00B85346"/>
    <w:rsid w:val="00B85E4B"/>
    <w:rsid w:val="00B86C3B"/>
    <w:rsid w:val="00B876C7"/>
    <w:rsid w:val="00B87AB2"/>
    <w:rsid w:val="00B91967"/>
    <w:rsid w:val="00B9296E"/>
    <w:rsid w:val="00B92F53"/>
    <w:rsid w:val="00B93CD0"/>
    <w:rsid w:val="00B93CFE"/>
    <w:rsid w:val="00B94301"/>
    <w:rsid w:val="00B94436"/>
    <w:rsid w:val="00B944EB"/>
    <w:rsid w:val="00B944FA"/>
    <w:rsid w:val="00B94E82"/>
    <w:rsid w:val="00B9524A"/>
    <w:rsid w:val="00B95726"/>
    <w:rsid w:val="00B95956"/>
    <w:rsid w:val="00B96019"/>
    <w:rsid w:val="00B9602F"/>
    <w:rsid w:val="00B96314"/>
    <w:rsid w:val="00B963C7"/>
    <w:rsid w:val="00BA125C"/>
    <w:rsid w:val="00BA1FD7"/>
    <w:rsid w:val="00BA3EDC"/>
    <w:rsid w:val="00BA4D44"/>
    <w:rsid w:val="00BA5213"/>
    <w:rsid w:val="00BA5925"/>
    <w:rsid w:val="00BA5DEA"/>
    <w:rsid w:val="00BA5FC3"/>
    <w:rsid w:val="00BA62B3"/>
    <w:rsid w:val="00BA70A1"/>
    <w:rsid w:val="00BA7519"/>
    <w:rsid w:val="00BB0B76"/>
    <w:rsid w:val="00BB0E4D"/>
    <w:rsid w:val="00BB11B7"/>
    <w:rsid w:val="00BB1DC2"/>
    <w:rsid w:val="00BB2731"/>
    <w:rsid w:val="00BB2D89"/>
    <w:rsid w:val="00BB3430"/>
    <w:rsid w:val="00BB542F"/>
    <w:rsid w:val="00BB55D2"/>
    <w:rsid w:val="00BB573A"/>
    <w:rsid w:val="00BB5922"/>
    <w:rsid w:val="00BB6B67"/>
    <w:rsid w:val="00BB6EDA"/>
    <w:rsid w:val="00BB723F"/>
    <w:rsid w:val="00BB74B3"/>
    <w:rsid w:val="00BB7843"/>
    <w:rsid w:val="00BB78F7"/>
    <w:rsid w:val="00BB7941"/>
    <w:rsid w:val="00BB7CDD"/>
    <w:rsid w:val="00BC0DC0"/>
    <w:rsid w:val="00BC1A83"/>
    <w:rsid w:val="00BC1ED1"/>
    <w:rsid w:val="00BC202F"/>
    <w:rsid w:val="00BC400B"/>
    <w:rsid w:val="00BC41F8"/>
    <w:rsid w:val="00BC42A0"/>
    <w:rsid w:val="00BC446D"/>
    <w:rsid w:val="00BC4473"/>
    <w:rsid w:val="00BC4CAC"/>
    <w:rsid w:val="00BC5521"/>
    <w:rsid w:val="00BC7FD0"/>
    <w:rsid w:val="00BD0152"/>
    <w:rsid w:val="00BD073C"/>
    <w:rsid w:val="00BD11EF"/>
    <w:rsid w:val="00BD223B"/>
    <w:rsid w:val="00BD4054"/>
    <w:rsid w:val="00BD460A"/>
    <w:rsid w:val="00BD4B0C"/>
    <w:rsid w:val="00BD4B72"/>
    <w:rsid w:val="00BD4DC5"/>
    <w:rsid w:val="00BD64BB"/>
    <w:rsid w:val="00BD74AD"/>
    <w:rsid w:val="00BD78D6"/>
    <w:rsid w:val="00BE0195"/>
    <w:rsid w:val="00BE08E5"/>
    <w:rsid w:val="00BE08FB"/>
    <w:rsid w:val="00BE162F"/>
    <w:rsid w:val="00BE28BC"/>
    <w:rsid w:val="00BE2C70"/>
    <w:rsid w:val="00BE3D31"/>
    <w:rsid w:val="00BE3D58"/>
    <w:rsid w:val="00BE4E6C"/>
    <w:rsid w:val="00BE5526"/>
    <w:rsid w:val="00BE6FA5"/>
    <w:rsid w:val="00BE7408"/>
    <w:rsid w:val="00BE7436"/>
    <w:rsid w:val="00BF03DA"/>
    <w:rsid w:val="00BF16CB"/>
    <w:rsid w:val="00BF2876"/>
    <w:rsid w:val="00BF2F7D"/>
    <w:rsid w:val="00BF34A2"/>
    <w:rsid w:val="00BF3705"/>
    <w:rsid w:val="00BF396A"/>
    <w:rsid w:val="00BF5B55"/>
    <w:rsid w:val="00BF734D"/>
    <w:rsid w:val="00BF7D7E"/>
    <w:rsid w:val="00C007CE"/>
    <w:rsid w:val="00C017AC"/>
    <w:rsid w:val="00C02E1C"/>
    <w:rsid w:val="00C0314F"/>
    <w:rsid w:val="00C039DE"/>
    <w:rsid w:val="00C0413F"/>
    <w:rsid w:val="00C04F42"/>
    <w:rsid w:val="00C04F5A"/>
    <w:rsid w:val="00C0660D"/>
    <w:rsid w:val="00C067F1"/>
    <w:rsid w:val="00C07D7C"/>
    <w:rsid w:val="00C10DBA"/>
    <w:rsid w:val="00C11816"/>
    <w:rsid w:val="00C11D38"/>
    <w:rsid w:val="00C1264F"/>
    <w:rsid w:val="00C12713"/>
    <w:rsid w:val="00C14352"/>
    <w:rsid w:val="00C14846"/>
    <w:rsid w:val="00C14A47"/>
    <w:rsid w:val="00C1668B"/>
    <w:rsid w:val="00C16856"/>
    <w:rsid w:val="00C169AE"/>
    <w:rsid w:val="00C16BF8"/>
    <w:rsid w:val="00C16F7F"/>
    <w:rsid w:val="00C17748"/>
    <w:rsid w:val="00C17B62"/>
    <w:rsid w:val="00C17FBE"/>
    <w:rsid w:val="00C20C70"/>
    <w:rsid w:val="00C211DD"/>
    <w:rsid w:val="00C21B7C"/>
    <w:rsid w:val="00C22153"/>
    <w:rsid w:val="00C227FA"/>
    <w:rsid w:val="00C22BF2"/>
    <w:rsid w:val="00C22D85"/>
    <w:rsid w:val="00C2335D"/>
    <w:rsid w:val="00C2350A"/>
    <w:rsid w:val="00C23BE9"/>
    <w:rsid w:val="00C244CC"/>
    <w:rsid w:val="00C26F22"/>
    <w:rsid w:val="00C2747D"/>
    <w:rsid w:val="00C274D1"/>
    <w:rsid w:val="00C277FF"/>
    <w:rsid w:val="00C27D05"/>
    <w:rsid w:val="00C300FA"/>
    <w:rsid w:val="00C3065D"/>
    <w:rsid w:val="00C31139"/>
    <w:rsid w:val="00C31743"/>
    <w:rsid w:val="00C3193B"/>
    <w:rsid w:val="00C319EC"/>
    <w:rsid w:val="00C32586"/>
    <w:rsid w:val="00C32AB3"/>
    <w:rsid w:val="00C32DF1"/>
    <w:rsid w:val="00C3462E"/>
    <w:rsid w:val="00C3578E"/>
    <w:rsid w:val="00C35CE5"/>
    <w:rsid w:val="00C3613F"/>
    <w:rsid w:val="00C368CD"/>
    <w:rsid w:val="00C36E03"/>
    <w:rsid w:val="00C372A8"/>
    <w:rsid w:val="00C41661"/>
    <w:rsid w:val="00C420D6"/>
    <w:rsid w:val="00C425B0"/>
    <w:rsid w:val="00C4297F"/>
    <w:rsid w:val="00C42DB6"/>
    <w:rsid w:val="00C4320B"/>
    <w:rsid w:val="00C441B4"/>
    <w:rsid w:val="00C4617C"/>
    <w:rsid w:val="00C461C9"/>
    <w:rsid w:val="00C4640C"/>
    <w:rsid w:val="00C47CEF"/>
    <w:rsid w:val="00C5092E"/>
    <w:rsid w:val="00C5160A"/>
    <w:rsid w:val="00C516E7"/>
    <w:rsid w:val="00C51804"/>
    <w:rsid w:val="00C51E6F"/>
    <w:rsid w:val="00C5200E"/>
    <w:rsid w:val="00C52C97"/>
    <w:rsid w:val="00C52FF7"/>
    <w:rsid w:val="00C5359B"/>
    <w:rsid w:val="00C536D5"/>
    <w:rsid w:val="00C5380F"/>
    <w:rsid w:val="00C53B44"/>
    <w:rsid w:val="00C53C3D"/>
    <w:rsid w:val="00C53F9F"/>
    <w:rsid w:val="00C54B54"/>
    <w:rsid w:val="00C55141"/>
    <w:rsid w:val="00C5544A"/>
    <w:rsid w:val="00C55F73"/>
    <w:rsid w:val="00C56811"/>
    <w:rsid w:val="00C57205"/>
    <w:rsid w:val="00C6015F"/>
    <w:rsid w:val="00C601BC"/>
    <w:rsid w:val="00C60615"/>
    <w:rsid w:val="00C60FD6"/>
    <w:rsid w:val="00C626BE"/>
    <w:rsid w:val="00C627CF"/>
    <w:rsid w:val="00C62B6B"/>
    <w:rsid w:val="00C62CCC"/>
    <w:rsid w:val="00C63075"/>
    <w:rsid w:val="00C648B9"/>
    <w:rsid w:val="00C671F2"/>
    <w:rsid w:val="00C70296"/>
    <w:rsid w:val="00C70ADC"/>
    <w:rsid w:val="00C70C3B"/>
    <w:rsid w:val="00C717A8"/>
    <w:rsid w:val="00C718C3"/>
    <w:rsid w:val="00C7196F"/>
    <w:rsid w:val="00C719F5"/>
    <w:rsid w:val="00C71CC2"/>
    <w:rsid w:val="00C72CF1"/>
    <w:rsid w:val="00C72DB4"/>
    <w:rsid w:val="00C73AFA"/>
    <w:rsid w:val="00C75346"/>
    <w:rsid w:val="00C755AF"/>
    <w:rsid w:val="00C75AE6"/>
    <w:rsid w:val="00C75B19"/>
    <w:rsid w:val="00C7602D"/>
    <w:rsid w:val="00C77314"/>
    <w:rsid w:val="00C7733A"/>
    <w:rsid w:val="00C77B05"/>
    <w:rsid w:val="00C77B8D"/>
    <w:rsid w:val="00C809C3"/>
    <w:rsid w:val="00C810AF"/>
    <w:rsid w:val="00C811C4"/>
    <w:rsid w:val="00C81501"/>
    <w:rsid w:val="00C818FF"/>
    <w:rsid w:val="00C81B83"/>
    <w:rsid w:val="00C8276B"/>
    <w:rsid w:val="00C835F6"/>
    <w:rsid w:val="00C843F3"/>
    <w:rsid w:val="00C85C64"/>
    <w:rsid w:val="00C85EBC"/>
    <w:rsid w:val="00C8628A"/>
    <w:rsid w:val="00C86881"/>
    <w:rsid w:val="00C8693D"/>
    <w:rsid w:val="00C86E17"/>
    <w:rsid w:val="00C86F89"/>
    <w:rsid w:val="00C87322"/>
    <w:rsid w:val="00C87822"/>
    <w:rsid w:val="00C87F5E"/>
    <w:rsid w:val="00C900EC"/>
    <w:rsid w:val="00C911F9"/>
    <w:rsid w:val="00C91302"/>
    <w:rsid w:val="00C91963"/>
    <w:rsid w:val="00C92382"/>
    <w:rsid w:val="00C92650"/>
    <w:rsid w:val="00C92F2D"/>
    <w:rsid w:val="00C92F63"/>
    <w:rsid w:val="00C93CFE"/>
    <w:rsid w:val="00C948D9"/>
    <w:rsid w:val="00C94C8A"/>
    <w:rsid w:val="00C95C3C"/>
    <w:rsid w:val="00C96FDD"/>
    <w:rsid w:val="00C976E4"/>
    <w:rsid w:val="00CA00EC"/>
    <w:rsid w:val="00CA05F5"/>
    <w:rsid w:val="00CA15CF"/>
    <w:rsid w:val="00CA1B2C"/>
    <w:rsid w:val="00CA32B2"/>
    <w:rsid w:val="00CA485C"/>
    <w:rsid w:val="00CA4FF7"/>
    <w:rsid w:val="00CA5254"/>
    <w:rsid w:val="00CA53E4"/>
    <w:rsid w:val="00CA54E8"/>
    <w:rsid w:val="00CA5876"/>
    <w:rsid w:val="00CA7D42"/>
    <w:rsid w:val="00CB0764"/>
    <w:rsid w:val="00CB296C"/>
    <w:rsid w:val="00CB2E92"/>
    <w:rsid w:val="00CB345A"/>
    <w:rsid w:val="00CB3840"/>
    <w:rsid w:val="00CB4AD7"/>
    <w:rsid w:val="00CB533F"/>
    <w:rsid w:val="00CB6509"/>
    <w:rsid w:val="00CB6F29"/>
    <w:rsid w:val="00CC0746"/>
    <w:rsid w:val="00CC0A14"/>
    <w:rsid w:val="00CC1088"/>
    <w:rsid w:val="00CC12AA"/>
    <w:rsid w:val="00CC1784"/>
    <w:rsid w:val="00CC1A06"/>
    <w:rsid w:val="00CC1CEA"/>
    <w:rsid w:val="00CC3CF5"/>
    <w:rsid w:val="00CC4776"/>
    <w:rsid w:val="00CC484C"/>
    <w:rsid w:val="00CC50C8"/>
    <w:rsid w:val="00CC7AFC"/>
    <w:rsid w:val="00CC7EC7"/>
    <w:rsid w:val="00CD01DD"/>
    <w:rsid w:val="00CD055A"/>
    <w:rsid w:val="00CD0889"/>
    <w:rsid w:val="00CD1151"/>
    <w:rsid w:val="00CD1316"/>
    <w:rsid w:val="00CD1F4D"/>
    <w:rsid w:val="00CD30B1"/>
    <w:rsid w:val="00CD34C7"/>
    <w:rsid w:val="00CD3ABA"/>
    <w:rsid w:val="00CD607E"/>
    <w:rsid w:val="00CE04A7"/>
    <w:rsid w:val="00CE129E"/>
    <w:rsid w:val="00CE2029"/>
    <w:rsid w:val="00CE207E"/>
    <w:rsid w:val="00CE21BA"/>
    <w:rsid w:val="00CE3433"/>
    <w:rsid w:val="00CE3B3C"/>
    <w:rsid w:val="00CE4992"/>
    <w:rsid w:val="00CE49CE"/>
    <w:rsid w:val="00CE5246"/>
    <w:rsid w:val="00CE5586"/>
    <w:rsid w:val="00CE5D12"/>
    <w:rsid w:val="00CE66A9"/>
    <w:rsid w:val="00CE6726"/>
    <w:rsid w:val="00CE7973"/>
    <w:rsid w:val="00CE7D7B"/>
    <w:rsid w:val="00CF0724"/>
    <w:rsid w:val="00CF083A"/>
    <w:rsid w:val="00CF1092"/>
    <w:rsid w:val="00CF13C7"/>
    <w:rsid w:val="00CF1596"/>
    <w:rsid w:val="00CF1E3D"/>
    <w:rsid w:val="00CF2089"/>
    <w:rsid w:val="00CF232A"/>
    <w:rsid w:val="00CF375A"/>
    <w:rsid w:val="00CF55B0"/>
    <w:rsid w:val="00CF5942"/>
    <w:rsid w:val="00CF5DCC"/>
    <w:rsid w:val="00CF63EB"/>
    <w:rsid w:val="00CF652C"/>
    <w:rsid w:val="00CF72CE"/>
    <w:rsid w:val="00CF7A37"/>
    <w:rsid w:val="00D018E0"/>
    <w:rsid w:val="00D01CEF"/>
    <w:rsid w:val="00D02E47"/>
    <w:rsid w:val="00D0399D"/>
    <w:rsid w:val="00D03C5C"/>
    <w:rsid w:val="00D05FC8"/>
    <w:rsid w:val="00D0678D"/>
    <w:rsid w:val="00D07983"/>
    <w:rsid w:val="00D0799B"/>
    <w:rsid w:val="00D11627"/>
    <w:rsid w:val="00D129B8"/>
    <w:rsid w:val="00D13796"/>
    <w:rsid w:val="00D13831"/>
    <w:rsid w:val="00D142F3"/>
    <w:rsid w:val="00D14DA3"/>
    <w:rsid w:val="00D14E4B"/>
    <w:rsid w:val="00D14F3E"/>
    <w:rsid w:val="00D17039"/>
    <w:rsid w:val="00D17F17"/>
    <w:rsid w:val="00D21302"/>
    <w:rsid w:val="00D22408"/>
    <w:rsid w:val="00D22F0A"/>
    <w:rsid w:val="00D23539"/>
    <w:rsid w:val="00D239DB"/>
    <w:rsid w:val="00D242D8"/>
    <w:rsid w:val="00D24431"/>
    <w:rsid w:val="00D2481D"/>
    <w:rsid w:val="00D24A58"/>
    <w:rsid w:val="00D251C4"/>
    <w:rsid w:val="00D30090"/>
    <w:rsid w:val="00D30A56"/>
    <w:rsid w:val="00D3242F"/>
    <w:rsid w:val="00D324B0"/>
    <w:rsid w:val="00D32D72"/>
    <w:rsid w:val="00D32D74"/>
    <w:rsid w:val="00D3364C"/>
    <w:rsid w:val="00D33693"/>
    <w:rsid w:val="00D33E59"/>
    <w:rsid w:val="00D34D49"/>
    <w:rsid w:val="00D34FA7"/>
    <w:rsid w:val="00D35A0E"/>
    <w:rsid w:val="00D360AF"/>
    <w:rsid w:val="00D3687D"/>
    <w:rsid w:val="00D36AA4"/>
    <w:rsid w:val="00D36BB1"/>
    <w:rsid w:val="00D36C14"/>
    <w:rsid w:val="00D36C41"/>
    <w:rsid w:val="00D37C53"/>
    <w:rsid w:val="00D417E5"/>
    <w:rsid w:val="00D417F5"/>
    <w:rsid w:val="00D41BD4"/>
    <w:rsid w:val="00D43947"/>
    <w:rsid w:val="00D44348"/>
    <w:rsid w:val="00D44B84"/>
    <w:rsid w:val="00D45198"/>
    <w:rsid w:val="00D45374"/>
    <w:rsid w:val="00D4578E"/>
    <w:rsid w:val="00D45EB8"/>
    <w:rsid w:val="00D45F7F"/>
    <w:rsid w:val="00D46615"/>
    <w:rsid w:val="00D46753"/>
    <w:rsid w:val="00D47873"/>
    <w:rsid w:val="00D47B8C"/>
    <w:rsid w:val="00D47D18"/>
    <w:rsid w:val="00D50439"/>
    <w:rsid w:val="00D5062E"/>
    <w:rsid w:val="00D50CC9"/>
    <w:rsid w:val="00D512D8"/>
    <w:rsid w:val="00D514B1"/>
    <w:rsid w:val="00D517D7"/>
    <w:rsid w:val="00D519A6"/>
    <w:rsid w:val="00D52CC1"/>
    <w:rsid w:val="00D53CDC"/>
    <w:rsid w:val="00D5442B"/>
    <w:rsid w:val="00D546BB"/>
    <w:rsid w:val="00D54766"/>
    <w:rsid w:val="00D550F4"/>
    <w:rsid w:val="00D55D14"/>
    <w:rsid w:val="00D567E0"/>
    <w:rsid w:val="00D5684A"/>
    <w:rsid w:val="00D5704F"/>
    <w:rsid w:val="00D574C6"/>
    <w:rsid w:val="00D6090D"/>
    <w:rsid w:val="00D60DA2"/>
    <w:rsid w:val="00D6352C"/>
    <w:rsid w:val="00D6516A"/>
    <w:rsid w:val="00D65676"/>
    <w:rsid w:val="00D65B49"/>
    <w:rsid w:val="00D65BD7"/>
    <w:rsid w:val="00D662BE"/>
    <w:rsid w:val="00D663DE"/>
    <w:rsid w:val="00D67218"/>
    <w:rsid w:val="00D67C38"/>
    <w:rsid w:val="00D71212"/>
    <w:rsid w:val="00D72142"/>
    <w:rsid w:val="00D73096"/>
    <w:rsid w:val="00D73AB9"/>
    <w:rsid w:val="00D74BCD"/>
    <w:rsid w:val="00D756E6"/>
    <w:rsid w:val="00D758B7"/>
    <w:rsid w:val="00D75EE5"/>
    <w:rsid w:val="00D761C1"/>
    <w:rsid w:val="00D76459"/>
    <w:rsid w:val="00D764CB"/>
    <w:rsid w:val="00D77755"/>
    <w:rsid w:val="00D80598"/>
    <w:rsid w:val="00D80625"/>
    <w:rsid w:val="00D8062A"/>
    <w:rsid w:val="00D80856"/>
    <w:rsid w:val="00D80E6B"/>
    <w:rsid w:val="00D81334"/>
    <w:rsid w:val="00D8191A"/>
    <w:rsid w:val="00D81C0C"/>
    <w:rsid w:val="00D81FCF"/>
    <w:rsid w:val="00D827D9"/>
    <w:rsid w:val="00D82BAE"/>
    <w:rsid w:val="00D8336B"/>
    <w:rsid w:val="00D84435"/>
    <w:rsid w:val="00D84775"/>
    <w:rsid w:val="00D84D00"/>
    <w:rsid w:val="00D8595B"/>
    <w:rsid w:val="00D868FD"/>
    <w:rsid w:val="00D86B3C"/>
    <w:rsid w:val="00D87059"/>
    <w:rsid w:val="00D87B9B"/>
    <w:rsid w:val="00D918B5"/>
    <w:rsid w:val="00D91A16"/>
    <w:rsid w:val="00D92138"/>
    <w:rsid w:val="00D93F75"/>
    <w:rsid w:val="00D94AC8"/>
    <w:rsid w:val="00D94D00"/>
    <w:rsid w:val="00D95BEF"/>
    <w:rsid w:val="00D97945"/>
    <w:rsid w:val="00D97EB5"/>
    <w:rsid w:val="00DA050B"/>
    <w:rsid w:val="00DA13B6"/>
    <w:rsid w:val="00DA179D"/>
    <w:rsid w:val="00DA2BB5"/>
    <w:rsid w:val="00DA3A82"/>
    <w:rsid w:val="00DA49F9"/>
    <w:rsid w:val="00DA4CCA"/>
    <w:rsid w:val="00DA57B1"/>
    <w:rsid w:val="00DA5F7F"/>
    <w:rsid w:val="00DA687B"/>
    <w:rsid w:val="00DA6BFE"/>
    <w:rsid w:val="00DA6DE4"/>
    <w:rsid w:val="00DA6FC4"/>
    <w:rsid w:val="00DA744D"/>
    <w:rsid w:val="00DA7B97"/>
    <w:rsid w:val="00DA7E42"/>
    <w:rsid w:val="00DA7FD4"/>
    <w:rsid w:val="00DB060C"/>
    <w:rsid w:val="00DB0795"/>
    <w:rsid w:val="00DB11FB"/>
    <w:rsid w:val="00DB1AE3"/>
    <w:rsid w:val="00DB3A90"/>
    <w:rsid w:val="00DB3CD5"/>
    <w:rsid w:val="00DB53E2"/>
    <w:rsid w:val="00DB5802"/>
    <w:rsid w:val="00DB6304"/>
    <w:rsid w:val="00DB654C"/>
    <w:rsid w:val="00DB6B29"/>
    <w:rsid w:val="00DB6B6E"/>
    <w:rsid w:val="00DB7709"/>
    <w:rsid w:val="00DC053A"/>
    <w:rsid w:val="00DC3CE1"/>
    <w:rsid w:val="00DC44CC"/>
    <w:rsid w:val="00DC4583"/>
    <w:rsid w:val="00DC5B28"/>
    <w:rsid w:val="00DC5B3B"/>
    <w:rsid w:val="00DC5F33"/>
    <w:rsid w:val="00DC613E"/>
    <w:rsid w:val="00DC745F"/>
    <w:rsid w:val="00DC7C25"/>
    <w:rsid w:val="00DD0800"/>
    <w:rsid w:val="00DD1646"/>
    <w:rsid w:val="00DD1D64"/>
    <w:rsid w:val="00DD1F3A"/>
    <w:rsid w:val="00DD22AD"/>
    <w:rsid w:val="00DD2776"/>
    <w:rsid w:val="00DD2F10"/>
    <w:rsid w:val="00DD3037"/>
    <w:rsid w:val="00DD3206"/>
    <w:rsid w:val="00DD46F3"/>
    <w:rsid w:val="00DD4AC5"/>
    <w:rsid w:val="00DD4FA5"/>
    <w:rsid w:val="00DD55D4"/>
    <w:rsid w:val="00DD5A1F"/>
    <w:rsid w:val="00DD6731"/>
    <w:rsid w:val="00DD6FB5"/>
    <w:rsid w:val="00DE16AE"/>
    <w:rsid w:val="00DE16DD"/>
    <w:rsid w:val="00DE1789"/>
    <w:rsid w:val="00DE18BF"/>
    <w:rsid w:val="00DE33E7"/>
    <w:rsid w:val="00DE3B86"/>
    <w:rsid w:val="00DE45F0"/>
    <w:rsid w:val="00DE5E1D"/>
    <w:rsid w:val="00DF0A16"/>
    <w:rsid w:val="00DF0AA7"/>
    <w:rsid w:val="00DF2104"/>
    <w:rsid w:val="00DF223C"/>
    <w:rsid w:val="00DF295C"/>
    <w:rsid w:val="00DF2B2C"/>
    <w:rsid w:val="00DF39AC"/>
    <w:rsid w:val="00DF51EE"/>
    <w:rsid w:val="00DF5C8A"/>
    <w:rsid w:val="00DF5D41"/>
    <w:rsid w:val="00DF65A8"/>
    <w:rsid w:val="00E003E4"/>
    <w:rsid w:val="00E036A6"/>
    <w:rsid w:val="00E041B8"/>
    <w:rsid w:val="00E04C39"/>
    <w:rsid w:val="00E0508E"/>
    <w:rsid w:val="00E053A1"/>
    <w:rsid w:val="00E0553C"/>
    <w:rsid w:val="00E06464"/>
    <w:rsid w:val="00E06633"/>
    <w:rsid w:val="00E06E3C"/>
    <w:rsid w:val="00E075BE"/>
    <w:rsid w:val="00E07753"/>
    <w:rsid w:val="00E07B9B"/>
    <w:rsid w:val="00E10044"/>
    <w:rsid w:val="00E102DB"/>
    <w:rsid w:val="00E1066B"/>
    <w:rsid w:val="00E106FC"/>
    <w:rsid w:val="00E11EAF"/>
    <w:rsid w:val="00E12296"/>
    <w:rsid w:val="00E12CBD"/>
    <w:rsid w:val="00E130B6"/>
    <w:rsid w:val="00E13622"/>
    <w:rsid w:val="00E13A33"/>
    <w:rsid w:val="00E14052"/>
    <w:rsid w:val="00E146F7"/>
    <w:rsid w:val="00E149D0"/>
    <w:rsid w:val="00E14A7C"/>
    <w:rsid w:val="00E15EDF"/>
    <w:rsid w:val="00E17739"/>
    <w:rsid w:val="00E17781"/>
    <w:rsid w:val="00E17CCE"/>
    <w:rsid w:val="00E20EC2"/>
    <w:rsid w:val="00E21F69"/>
    <w:rsid w:val="00E22ED2"/>
    <w:rsid w:val="00E2308D"/>
    <w:rsid w:val="00E23436"/>
    <w:rsid w:val="00E23740"/>
    <w:rsid w:val="00E24A50"/>
    <w:rsid w:val="00E24B45"/>
    <w:rsid w:val="00E24B5A"/>
    <w:rsid w:val="00E259D1"/>
    <w:rsid w:val="00E25E2E"/>
    <w:rsid w:val="00E26445"/>
    <w:rsid w:val="00E27FEF"/>
    <w:rsid w:val="00E305B7"/>
    <w:rsid w:val="00E308A7"/>
    <w:rsid w:val="00E30A38"/>
    <w:rsid w:val="00E31DA3"/>
    <w:rsid w:val="00E328D3"/>
    <w:rsid w:val="00E32F58"/>
    <w:rsid w:val="00E33F95"/>
    <w:rsid w:val="00E3407A"/>
    <w:rsid w:val="00E361BB"/>
    <w:rsid w:val="00E36488"/>
    <w:rsid w:val="00E3682B"/>
    <w:rsid w:val="00E37C69"/>
    <w:rsid w:val="00E40B5E"/>
    <w:rsid w:val="00E41B41"/>
    <w:rsid w:val="00E41C04"/>
    <w:rsid w:val="00E42D10"/>
    <w:rsid w:val="00E430A7"/>
    <w:rsid w:val="00E43987"/>
    <w:rsid w:val="00E44872"/>
    <w:rsid w:val="00E44BDF"/>
    <w:rsid w:val="00E45532"/>
    <w:rsid w:val="00E455E2"/>
    <w:rsid w:val="00E45897"/>
    <w:rsid w:val="00E45A18"/>
    <w:rsid w:val="00E46AA6"/>
    <w:rsid w:val="00E474DD"/>
    <w:rsid w:val="00E474FF"/>
    <w:rsid w:val="00E47F2C"/>
    <w:rsid w:val="00E5006C"/>
    <w:rsid w:val="00E51635"/>
    <w:rsid w:val="00E51A36"/>
    <w:rsid w:val="00E52A31"/>
    <w:rsid w:val="00E52F42"/>
    <w:rsid w:val="00E535A0"/>
    <w:rsid w:val="00E538F1"/>
    <w:rsid w:val="00E5560A"/>
    <w:rsid w:val="00E55A20"/>
    <w:rsid w:val="00E56BED"/>
    <w:rsid w:val="00E57000"/>
    <w:rsid w:val="00E57E14"/>
    <w:rsid w:val="00E57FDC"/>
    <w:rsid w:val="00E60608"/>
    <w:rsid w:val="00E6090B"/>
    <w:rsid w:val="00E61E3D"/>
    <w:rsid w:val="00E61E4A"/>
    <w:rsid w:val="00E623DA"/>
    <w:rsid w:val="00E630A4"/>
    <w:rsid w:val="00E63772"/>
    <w:rsid w:val="00E63F6A"/>
    <w:rsid w:val="00E64802"/>
    <w:rsid w:val="00E6497B"/>
    <w:rsid w:val="00E65323"/>
    <w:rsid w:val="00E65FA8"/>
    <w:rsid w:val="00E6635E"/>
    <w:rsid w:val="00E66D29"/>
    <w:rsid w:val="00E675BF"/>
    <w:rsid w:val="00E7096F"/>
    <w:rsid w:val="00E70BC4"/>
    <w:rsid w:val="00E72578"/>
    <w:rsid w:val="00E72846"/>
    <w:rsid w:val="00E72F3C"/>
    <w:rsid w:val="00E72FA0"/>
    <w:rsid w:val="00E76AAB"/>
    <w:rsid w:val="00E7718F"/>
    <w:rsid w:val="00E803FE"/>
    <w:rsid w:val="00E81355"/>
    <w:rsid w:val="00E85A89"/>
    <w:rsid w:val="00E860CB"/>
    <w:rsid w:val="00E86698"/>
    <w:rsid w:val="00E86BBD"/>
    <w:rsid w:val="00E879D1"/>
    <w:rsid w:val="00E925A9"/>
    <w:rsid w:val="00E92905"/>
    <w:rsid w:val="00E92A03"/>
    <w:rsid w:val="00E92F7D"/>
    <w:rsid w:val="00E939F4"/>
    <w:rsid w:val="00E93E80"/>
    <w:rsid w:val="00E941C2"/>
    <w:rsid w:val="00E945A0"/>
    <w:rsid w:val="00E94B15"/>
    <w:rsid w:val="00E955A5"/>
    <w:rsid w:val="00E95B43"/>
    <w:rsid w:val="00E95E02"/>
    <w:rsid w:val="00E95F7A"/>
    <w:rsid w:val="00E96607"/>
    <w:rsid w:val="00E97BAC"/>
    <w:rsid w:val="00E97DE9"/>
    <w:rsid w:val="00E97E36"/>
    <w:rsid w:val="00EA0FF4"/>
    <w:rsid w:val="00EA1262"/>
    <w:rsid w:val="00EA27DE"/>
    <w:rsid w:val="00EA437E"/>
    <w:rsid w:val="00EA4A0D"/>
    <w:rsid w:val="00EA549B"/>
    <w:rsid w:val="00EA5610"/>
    <w:rsid w:val="00EA5FD0"/>
    <w:rsid w:val="00EA65AD"/>
    <w:rsid w:val="00EA7386"/>
    <w:rsid w:val="00EA79D3"/>
    <w:rsid w:val="00EA7F94"/>
    <w:rsid w:val="00EB0349"/>
    <w:rsid w:val="00EB0A0C"/>
    <w:rsid w:val="00EB0CBB"/>
    <w:rsid w:val="00EB0EB7"/>
    <w:rsid w:val="00EB12C7"/>
    <w:rsid w:val="00EB1BC7"/>
    <w:rsid w:val="00EB1D59"/>
    <w:rsid w:val="00EB25CD"/>
    <w:rsid w:val="00EB2964"/>
    <w:rsid w:val="00EB2FC3"/>
    <w:rsid w:val="00EB3AB6"/>
    <w:rsid w:val="00EB43EF"/>
    <w:rsid w:val="00EB45B3"/>
    <w:rsid w:val="00EB4DAC"/>
    <w:rsid w:val="00EB51C3"/>
    <w:rsid w:val="00EB545A"/>
    <w:rsid w:val="00EB58EF"/>
    <w:rsid w:val="00EB5C02"/>
    <w:rsid w:val="00EB685B"/>
    <w:rsid w:val="00EB6EB6"/>
    <w:rsid w:val="00EB6EFC"/>
    <w:rsid w:val="00EB723C"/>
    <w:rsid w:val="00EB74B4"/>
    <w:rsid w:val="00EB77F6"/>
    <w:rsid w:val="00EB78F5"/>
    <w:rsid w:val="00EB79FD"/>
    <w:rsid w:val="00EC0AC6"/>
    <w:rsid w:val="00EC1382"/>
    <w:rsid w:val="00EC191A"/>
    <w:rsid w:val="00EC1B64"/>
    <w:rsid w:val="00EC1D9D"/>
    <w:rsid w:val="00EC1F1A"/>
    <w:rsid w:val="00EC2F42"/>
    <w:rsid w:val="00EC30FB"/>
    <w:rsid w:val="00EC3A53"/>
    <w:rsid w:val="00EC3CF1"/>
    <w:rsid w:val="00EC4924"/>
    <w:rsid w:val="00EC4F27"/>
    <w:rsid w:val="00EC54E6"/>
    <w:rsid w:val="00EC5806"/>
    <w:rsid w:val="00EC5A5A"/>
    <w:rsid w:val="00EC6871"/>
    <w:rsid w:val="00EC7795"/>
    <w:rsid w:val="00EC7B91"/>
    <w:rsid w:val="00ED041C"/>
    <w:rsid w:val="00ED0BD8"/>
    <w:rsid w:val="00ED1A1A"/>
    <w:rsid w:val="00ED1FB2"/>
    <w:rsid w:val="00ED28F8"/>
    <w:rsid w:val="00ED40CB"/>
    <w:rsid w:val="00ED435A"/>
    <w:rsid w:val="00ED48CC"/>
    <w:rsid w:val="00ED5221"/>
    <w:rsid w:val="00ED5710"/>
    <w:rsid w:val="00ED5D4C"/>
    <w:rsid w:val="00ED6F40"/>
    <w:rsid w:val="00EE0CF7"/>
    <w:rsid w:val="00EE1786"/>
    <w:rsid w:val="00EE4224"/>
    <w:rsid w:val="00EE48EA"/>
    <w:rsid w:val="00EE4D49"/>
    <w:rsid w:val="00EE5C63"/>
    <w:rsid w:val="00EE63A7"/>
    <w:rsid w:val="00EE65EE"/>
    <w:rsid w:val="00EF02DD"/>
    <w:rsid w:val="00EF11DF"/>
    <w:rsid w:val="00EF177C"/>
    <w:rsid w:val="00EF1D3D"/>
    <w:rsid w:val="00EF2117"/>
    <w:rsid w:val="00EF26C4"/>
    <w:rsid w:val="00EF2A5A"/>
    <w:rsid w:val="00EF2D44"/>
    <w:rsid w:val="00EF2DCA"/>
    <w:rsid w:val="00EF3375"/>
    <w:rsid w:val="00EF3839"/>
    <w:rsid w:val="00EF4926"/>
    <w:rsid w:val="00EF5333"/>
    <w:rsid w:val="00EF68F4"/>
    <w:rsid w:val="00EF6907"/>
    <w:rsid w:val="00EF7F9F"/>
    <w:rsid w:val="00F002A2"/>
    <w:rsid w:val="00F00857"/>
    <w:rsid w:val="00F01853"/>
    <w:rsid w:val="00F02DBC"/>
    <w:rsid w:val="00F034E9"/>
    <w:rsid w:val="00F0359F"/>
    <w:rsid w:val="00F035F3"/>
    <w:rsid w:val="00F041A4"/>
    <w:rsid w:val="00F055C6"/>
    <w:rsid w:val="00F0561F"/>
    <w:rsid w:val="00F05920"/>
    <w:rsid w:val="00F06A5E"/>
    <w:rsid w:val="00F073A1"/>
    <w:rsid w:val="00F07B34"/>
    <w:rsid w:val="00F120C1"/>
    <w:rsid w:val="00F12C98"/>
    <w:rsid w:val="00F12FC0"/>
    <w:rsid w:val="00F13428"/>
    <w:rsid w:val="00F13751"/>
    <w:rsid w:val="00F1377D"/>
    <w:rsid w:val="00F1426B"/>
    <w:rsid w:val="00F14781"/>
    <w:rsid w:val="00F14933"/>
    <w:rsid w:val="00F14D48"/>
    <w:rsid w:val="00F153BF"/>
    <w:rsid w:val="00F17EAE"/>
    <w:rsid w:val="00F204D1"/>
    <w:rsid w:val="00F20B92"/>
    <w:rsid w:val="00F216BE"/>
    <w:rsid w:val="00F21707"/>
    <w:rsid w:val="00F229C7"/>
    <w:rsid w:val="00F22FAD"/>
    <w:rsid w:val="00F2352A"/>
    <w:rsid w:val="00F235E1"/>
    <w:rsid w:val="00F23E3B"/>
    <w:rsid w:val="00F2413B"/>
    <w:rsid w:val="00F2560C"/>
    <w:rsid w:val="00F25EB7"/>
    <w:rsid w:val="00F267FB"/>
    <w:rsid w:val="00F3012B"/>
    <w:rsid w:val="00F30844"/>
    <w:rsid w:val="00F30CDF"/>
    <w:rsid w:val="00F30E77"/>
    <w:rsid w:val="00F31054"/>
    <w:rsid w:val="00F321FD"/>
    <w:rsid w:val="00F338F7"/>
    <w:rsid w:val="00F34437"/>
    <w:rsid w:val="00F349AF"/>
    <w:rsid w:val="00F358F5"/>
    <w:rsid w:val="00F3792C"/>
    <w:rsid w:val="00F40FAD"/>
    <w:rsid w:val="00F41300"/>
    <w:rsid w:val="00F414F8"/>
    <w:rsid w:val="00F4179D"/>
    <w:rsid w:val="00F41A7C"/>
    <w:rsid w:val="00F43776"/>
    <w:rsid w:val="00F43C3A"/>
    <w:rsid w:val="00F43F34"/>
    <w:rsid w:val="00F449CB"/>
    <w:rsid w:val="00F44CC9"/>
    <w:rsid w:val="00F44D49"/>
    <w:rsid w:val="00F45215"/>
    <w:rsid w:val="00F45DF6"/>
    <w:rsid w:val="00F47CF6"/>
    <w:rsid w:val="00F5095D"/>
    <w:rsid w:val="00F50ECF"/>
    <w:rsid w:val="00F51D34"/>
    <w:rsid w:val="00F53D03"/>
    <w:rsid w:val="00F5480E"/>
    <w:rsid w:val="00F54AED"/>
    <w:rsid w:val="00F55269"/>
    <w:rsid w:val="00F552A7"/>
    <w:rsid w:val="00F560D7"/>
    <w:rsid w:val="00F56147"/>
    <w:rsid w:val="00F5618A"/>
    <w:rsid w:val="00F568D1"/>
    <w:rsid w:val="00F6180A"/>
    <w:rsid w:val="00F62B57"/>
    <w:rsid w:val="00F62F3B"/>
    <w:rsid w:val="00F63235"/>
    <w:rsid w:val="00F63297"/>
    <w:rsid w:val="00F6330C"/>
    <w:rsid w:val="00F63F76"/>
    <w:rsid w:val="00F6567A"/>
    <w:rsid w:val="00F6640F"/>
    <w:rsid w:val="00F66689"/>
    <w:rsid w:val="00F66951"/>
    <w:rsid w:val="00F66A35"/>
    <w:rsid w:val="00F66DDF"/>
    <w:rsid w:val="00F67700"/>
    <w:rsid w:val="00F704AB"/>
    <w:rsid w:val="00F70A4A"/>
    <w:rsid w:val="00F712F5"/>
    <w:rsid w:val="00F71634"/>
    <w:rsid w:val="00F716AA"/>
    <w:rsid w:val="00F71B34"/>
    <w:rsid w:val="00F71E3B"/>
    <w:rsid w:val="00F720E3"/>
    <w:rsid w:val="00F729B9"/>
    <w:rsid w:val="00F7372C"/>
    <w:rsid w:val="00F7387F"/>
    <w:rsid w:val="00F740AA"/>
    <w:rsid w:val="00F74489"/>
    <w:rsid w:val="00F747BA"/>
    <w:rsid w:val="00F75AC2"/>
    <w:rsid w:val="00F75EDB"/>
    <w:rsid w:val="00F76B4D"/>
    <w:rsid w:val="00F76C0A"/>
    <w:rsid w:val="00F8016B"/>
    <w:rsid w:val="00F80FD6"/>
    <w:rsid w:val="00F82353"/>
    <w:rsid w:val="00F8449E"/>
    <w:rsid w:val="00F84760"/>
    <w:rsid w:val="00F84EC5"/>
    <w:rsid w:val="00F84F54"/>
    <w:rsid w:val="00F854EF"/>
    <w:rsid w:val="00F856CC"/>
    <w:rsid w:val="00F860E8"/>
    <w:rsid w:val="00F86938"/>
    <w:rsid w:val="00F8796E"/>
    <w:rsid w:val="00F87EF0"/>
    <w:rsid w:val="00F90487"/>
    <w:rsid w:val="00F90665"/>
    <w:rsid w:val="00F90DFD"/>
    <w:rsid w:val="00F91323"/>
    <w:rsid w:val="00F9296E"/>
    <w:rsid w:val="00F93595"/>
    <w:rsid w:val="00F948F8"/>
    <w:rsid w:val="00F972F7"/>
    <w:rsid w:val="00F97C20"/>
    <w:rsid w:val="00F97E29"/>
    <w:rsid w:val="00FA0647"/>
    <w:rsid w:val="00FA1B6B"/>
    <w:rsid w:val="00FA257E"/>
    <w:rsid w:val="00FA2D50"/>
    <w:rsid w:val="00FA2EE1"/>
    <w:rsid w:val="00FA40B4"/>
    <w:rsid w:val="00FA538F"/>
    <w:rsid w:val="00FA548D"/>
    <w:rsid w:val="00FA54C4"/>
    <w:rsid w:val="00FA597C"/>
    <w:rsid w:val="00FA647D"/>
    <w:rsid w:val="00FA64D2"/>
    <w:rsid w:val="00FA6D3D"/>
    <w:rsid w:val="00FA755B"/>
    <w:rsid w:val="00FB0892"/>
    <w:rsid w:val="00FB0BE9"/>
    <w:rsid w:val="00FB0C80"/>
    <w:rsid w:val="00FB0DD7"/>
    <w:rsid w:val="00FB1F73"/>
    <w:rsid w:val="00FB2095"/>
    <w:rsid w:val="00FB25C1"/>
    <w:rsid w:val="00FB3CE2"/>
    <w:rsid w:val="00FB57A6"/>
    <w:rsid w:val="00FB5E52"/>
    <w:rsid w:val="00FB645E"/>
    <w:rsid w:val="00FC0261"/>
    <w:rsid w:val="00FC2137"/>
    <w:rsid w:val="00FC52E5"/>
    <w:rsid w:val="00FC5B29"/>
    <w:rsid w:val="00FC5F78"/>
    <w:rsid w:val="00FC64B6"/>
    <w:rsid w:val="00FC6547"/>
    <w:rsid w:val="00FC666E"/>
    <w:rsid w:val="00FC7B7F"/>
    <w:rsid w:val="00FC7D47"/>
    <w:rsid w:val="00FD061A"/>
    <w:rsid w:val="00FD09D7"/>
    <w:rsid w:val="00FD27E0"/>
    <w:rsid w:val="00FD2DC1"/>
    <w:rsid w:val="00FD2EAE"/>
    <w:rsid w:val="00FD3185"/>
    <w:rsid w:val="00FD5324"/>
    <w:rsid w:val="00FD5A4D"/>
    <w:rsid w:val="00FD71CA"/>
    <w:rsid w:val="00FD7254"/>
    <w:rsid w:val="00FE052C"/>
    <w:rsid w:val="00FE059D"/>
    <w:rsid w:val="00FE0CED"/>
    <w:rsid w:val="00FE19D2"/>
    <w:rsid w:val="00FE1EB1"/>
    <w:rsid w:val="00FE2159"/>
    <w:rsid w:val="00FE23DA"/>
    <w:rsid w:val="00FE31E6"/>
    <w:rsid w:val="00FE4BE4"/>
    <w:rsid w:val="00FE51A0"/>
    <w:rsid w:val="00FE6110"/>
    <w:rsid w:val="00FE72C3"/>
    <w:rsid w:val="00FE7707"/>
    <w:rsid w:val="00FE773A"/>
    <w:rsid w:val="00FE799D"/>
    <w:rsid w:val="00FE79FB"/>
    <w:rsid w:val="00FE7D5D"/>
    <w:rsid w:val="00FF03A6"/>
    <w:rsid w:val="00FF2769"/>
    <w:rsid w:val="00FF330E"/>
    <w:rsid w:val="00FF368E"/>
    <w:rsid w:val="00FF3756"/>
    <w:rsid w:val="00FF37A8"/>
    <w:rsid w:val="00FF423D"/>
    <w:rsid w:val="00FF491A"/>
    <w:rsid w:val="00FF4B08"/>
    <w:rsid w:val="00FF4D98"/>
    <w:rsid w:val="00FF5401"/>
    <w:rsid w:val="00FF54D0"/>
    <w:rsid w:val="00FF58B2"/>
    <w:rsid w:val="00FF6442"/>
    <w:rsid w:val="00FF67A3"/>
    <w:rsid w:val="00FF6983"/>
    <w:rsid w:val="00FF6A03"/>
    <w:rsid w:val="00FF7574"/>
    <w:rsid w:val="00FF7A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74475E"/>
  <w15:docId w15:val="{39D47E2E-C21D-4FEB-9D41-E8E7ACE2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C7"/>
    <w:pPr>
      <w:jc w:val="both"/>
    </w:pPr>
    <w:rPr>
      <w:rFonts w:ascii="Times New Roman" w:hAnsi="Times New Roman"/>
      <w:sz w:val="20"/>
    </w:rPr>
  </w:style>
  <w:style w:type="paragraph" w:styleId="Titre1">
    <w:name w:val="heading 1"/>
    <w:basedOn w:val="Normal"/>
    <w:next w:val="Normal"/>
    <w:link w:val="Titre1Car"/>
    <w:uiPriority w:val="9"/>
    <w:qFormat/>
    <w:rsid w:val="00774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74D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8758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909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F2A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F2A6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774D5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74D5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87580"/>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4223A9"/>
    <w:pPr>
      <w:ind w:left="720"/>
      <w:contextualSpacing/>
    </w:pPr>
  </w:style>
  <w:style w:type="paragraph" w:styleId="En-tte">
    <w:name w:val="header"/>
    <w:basedOn w:val="Normal"/>
    <w:link w:val="En-tteCar"/>
    <w:uiPriority w:val="99"/>
    <w:unhideWhenUsed/>
    <w:rsid w:val="00F3792C"/>
    <w:pPr>
      <w:tabs>
        <w:tab w:val="center" w:pos="4536"/>
        <w:tab w:val="right" w:pos="9072"/>
      </w:tabs>
      <w:spacing w:after="0" w:line="240" w:lineRule="auto"/>
    </w:pPr>
  </w:style>
  <w:style w:type="character" w:customStyle="1" w:styleId="En-tteCar">
    <w:name w:val="En-tête Car"/>
    <w:basedOn w:val="Policepardfaut"/>
    <w:link w:val="En-tte"/>
    <w:uiPriority w:val="99"/>
    <w:rsid w:val="00F3792C"/>
  </w:style>
  <w:style w:type="paragraph" w:styleId="Pieddepage">
    <w:name w:val="footer"/>
    <w:basedOn w:val="Normal"/>
    <w:link w:val="PieddepageCar"/>
    <w:uiPriority w:val="99"/>
    <w:unhideWhenUsed/>
    <w:rsid w:val="00F379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92C"/>
  </w:style>
  <w:style w:type="character" w:customStyle="1" w:styleId="st">
    <w:name w:val="st"/>
    <w:basedOn w:val="Policepardfaut"/>
    <w:rsid w:val="00E24A50"/>
  </w:style>
  <w:style w:type="character" w:styleId="Accentuation">
    <w:name w:val="Emphasis"/>
    <w:basedOn w:val="Policepardfaut"/>
    <w:uiPriority w:val="20"/>
    <w:qFormat/>
    <w:rsid w:val="00E24A50"/>
    <w:rPr>
      <w:i/>
      <w:iCs/>
    </w:rPr>
  </w:style>
  <w:style w:type="character" w:customStyle="1" w:styleId="Titre4Car">
    <w:name w:val="Titre 4 Car"/>
    <w:basedOn w:val="Policepardfaut"/>
    <w:link w:val="Titre4"/>
    <w:uiPriority w:val="9"/>
    <w:rsid w:val="00890978"/>
    <w:rPr>
      <w:rFonts w:asciiTheme="majorHAnsi" w:eastAsiaTheme="majorEastAsia" w:hAnsiTheme="majorHAnsi" w:cstheme="majorBidi"/>
      <w:b/>
      <w:bCs/>
      <w:i/>
      <w:iCs/>
      <w:color w:val="4F81BD" w:themeColor="accent1"/>
    </w:rPr>
  </w:style>
  <w:style w:type="table" w:styleId="Trameclaire-Accent5">
    <w:name w:val="Light Shading Accent 5"/>
    <w:basedOn w:val="TableauNormal"/>
    <w:uiPriority w:val="60"/>
    <w:rsid w:val="001A4CB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1D57E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steclaire-Accent11">
    <w:name w:val="Liste claire - Accent 11"/>
    <w:basedOn w:val="TableauNormal"/>
    <w:next w:val="Listeclaire-Accent1"/>
    <w:uiPriority w:val="61"/>
    <w:rsid w:val="00D116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1">
    <w:name w:val="Light List Accent 1"/>
    <w:basedOn w:val="TableauNormal"/>
    <w:uiPriority w:val="61"/>
    <w:rsid w:val="00D116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Marquedecommentaire">
    <w:name w:val="annotation reference"/>
    <w:basedOn w:val="Policepardfaut"/>
    <w:uiPriority w:val="99"/>
    <w:semiHidden/>
    <w:unhideWhenUsed/>
    <w:rsid w:val="00037BFC"/>
    <w:rPr>
      <w:sz w:val="16"/>
      <w:szCs w:val="16"/>
    </w:rPr>
  </w:style>
  <w:style w:type="paragraph" w:styleId="Commentaire">
    <w:name w:val="annotation text"/>
    <w:basedOn w:val="Normal"/>
    <w:link w:val="CommentaireCar"/>
    <w:uiPriority w:val="99"/>
    <w:unhideWhenUsed/>
    <w:rsid w:val="00037BFC"/>
    <w:pPr>
      <w:spacing w:line="240" w:lineRule="auto"/>
    </w:pPr>
    <w:rPr>
      <w:szCs w:val="20"/>
    </w:rPr>
  </w:style>
  <w:style w:type="character" w:customStyle="1" w:styleId="CommentaireCar">
    <w:name w:val="Commentaire Car"/>
    <w:basedOn w:val="Policepardfaut"/>
    <w:link w:val="Commentaire"/>
    <w:uiPriority w:val="99"/>
    <w:rsid w:val="00037BFC"/>
    <w:rPr>
      <w:sz w:val="20"/>
      <w:szCs w:val="20"/>
    </w:rPr>
  </w:style>
  <w:style w:type="paragraph" w:styleId="Objetducommentaire">
    <w:name w:val="annotation subject"/>
    <w:basedOn w:val="Commentaire"/>
    <w:next w:val="Commentaire"/>
    <w:link w:val="ObjetducommentaireCar"/>
    <w:uiPriority w:val="99"/>
    <w:semiHidden/>
    <w:unhideWhenUsed/>
    <w:rsid w:val="00037BFC"/>
    <w:rPr>
      <w:b/>
      <w:bCs/>
    </w:rPr>
  </w:style>
  <w:style w:type="character" w:customStyle="1" w:styleId="ObjetducommentaireCar">
    <w:name w:val="Objet du commentaire Car"/>
    <w:basedOn w:val="CommentaireCar"/>
    <w:link w:val="Objetducommentaire"/>
    <w:uiPriority w:val="99"/>
    <w:semiHidden/>
    <w:rsid w:val="00037BFC"/>
    <w:rPr>
      <w:b/>
      <w:bCs/>
      <w:sz w:val="20"/>
      <w:szCs w:val="20"/>
    </w:rPr>
  </w:style>
  <w:style w:type="paragraph" w:styleId="Textedebulles">
    <w:name w:val="Balloon Text"/>
    <w:basedOn w:val="Normal"/>
    <w:link w:val="TextedebullesCar"/>
    <w:uiPriority w:val="99"/>
    <w:semiHidden/>
    <w:unhideWhenUsed/>
    <w:rsid w:val="00037B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7BFC"/>
    <w:rPr>
      <w:rFonts w:ascii="Tahoma" w:hAnsi="Tahoma" w:cs="Tahoma"/>
      <w:sz w:val="16"/>
      <w:szCs w:val="16"/>
    </w:rPr>
  </w:style>
  <w:style w:type="paragraph" w:styleId="Notedebasdepage">
    <w:name w:val="footnote text"/>
    <w:basedOn w:val="Normal"/>
    <w:link w:val="NotedebasdepageCar"/>
    <w:uiPriority w:val="99"/>
    <w:unhideWhenUsed/>
    <w:rsid w:val="00693349"/>
    <w:pPr>
      <w:spacing w:after="0" w:line="240" w:lineRule="auto"/>
    </w:pPr>
    <w:rPr>
      <w:szCs w:val="20"/>
    </w:rPr>
  </w:style>
  <w:style w:type="character" w:customStyle="1" w:styleId="NotedebasdepageCar">
    <w:name w:val="Note de bas de page Car"/>
    <w:basedOn w:val="Policepardfaut"/>
    <w:link w:val="Notedebasdepage"/>
    <w:uiPriority w:val="99"/>
    <w:rsid w:val="00693349"/>
    <w:rPr>
      <w:sz w:val="20"/>
      <w:szCs w:val="20"/>
    </w:rPr>
  </w:style>
  <w:style w:type="character" w:styleId="Appelnotedebasdep">
    <w:name w:val="footnote reference"/>
    <w:basedOn w:val="Policepardfaut"/>
    <w:uiPriority w:val="99"/>
    <w:unhideWhenUsed/>
    <w:rsid w:val="00693349"/>
    <w:rPr>
      <w:vertAlign w:val="superscript"/>
    </w:rPr>
  </w:style>
  <w:style w:type="character" w:styleId="Lienhypertexte">
    <w:name w:val="Hyperlink"/>
    <w:basedOn w:val="Policepardfaut"/>
    <w:uiPriority w:val="99"/>
    <w:unhideWhenUsed/>
    <w:rsid w:val="00693349"/>
    <w:rPr>
      <w:color w:val="0000FF"/>
      <w:u w:val="single"/>
    </w:rPr>
  </w:style>
  <w:style w:type="table" w:styleId="Grilledutableau">
    <w:name w:val="Table Grid"/>
    <w:basedOn w:val="TableauNormal"/>
    <w:uiPriority w:val="59"/>
    <w:rsid w:val="004D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53147"/>
    <w:pPr>
      <w:spacing w:after="0" w:line="240" w:lineRule="auto"/>
    </w:pPr>
  </w:style>
  <w:style w:type="table" w:styleId="Listeclaire-Accent3">
    <w:name w:val="Light List Accent 3"/>
    <w:basedOn w:val="TableauNormal"/>
    <w:uiPriority w:val="61"/>
    <w:rsid w:val="00F716A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gende">
    <w:name w:val="caption"/>
    <w:basedOn w:val="Normal"/>
    <w:next w:val="Normal"/>
    <w:uiPriority w:val="35"/>
    <w:unhideWhenUsed/>
    <w:qFormat/>
    <w:rsid w:val="00D80E6B"/>
    <w:pPr>
      <w:spacing w:line="240" w:lineRule="auto"/>
    </w:pPr>
    <w:rPr>
      <w:b/>
      <w:bCs/>
      <w:color w:val="4F81BD" w:themeColor="accent1"/>
      <w:sz w:val="18"/>
      <w:szCs w:val="18"/>
    </w:rPr>
  </w:style>
  <w:style w:type="character" w:styleId="Numrodeligne">
    <w:name w:val="line number"/>
    <w:basedOn w:val="Policepardfaut"/>
    <w:uiPriority w:val="99"/>
    <w:semiHidden/>
    <w:unhideWhenUsed/>
    <w:rsid w:val="007C2475"/>
  </w:style>
  <w:style w:type="character" w:customStyle="1" w:styleId="highlight">
    <w:name w:val="highlight"/>
    <w:basedOn w:val="Policepardfaut"/>
    <w:rsid w:val="00085440"/>
  </w:style>
  <w:style w:type="paragraph" w:styleId="Bibliographie">
    <w:name w:val="Bibliography"/>
    <w:basedOn w:val="Normal"/>
    <w:next w:val="Normal"/>
    <w:uiPriority w:val="37"/>
    <w:unhideWhenUsed/>
    <w:rsid w:val="00057E67"/>
    <w:pPr>
      <w:spacing w:after="0" w:line="480" w:lineRule="auto"/>
      <w:ind w:left="720" w:hanging="720"/>
    </w:pPr>
  </w:style>
  <w:style w:type="table" w:customStyle="1" w:styleId="Grilledutableau1">
    <w:name w:val="Grille du tableau1"/>
    <w:basedOn w:val="TableauNormal"/>
    <w:next w:val="Grilledutableau"/>
    <w:uiPriority w:val="59"/>
    <w:rsid w:val="00D8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33B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3785">
      <w:bodyDiv w:val="1"/>
      <w:marLeft w:val="0"/>
      <w:marRight w:val="0"/>
      <w:marTop w:val="0"/>
      <w:marBottom w:val="0"/>
      <w:divBdr>
        <w:top w:val="none" w:sz="0" w:space="0" w:color="auto"/>
        <w:left w:val="none" w:sz="0" w:space="0" w:color="auto"/>
        <w:bottom w:val="none" w:sz="0" w:space="0" w:color="auto"/>
        <w:right w:val="none" w:sz="0" w:space="0" w:color="auto"/>
      </w:divBdr>
      <w:divsChild>
        <w:div w:id="1141384748">
          <w:marLeft w:val="547"/>
          <w:marRight w:val="0"/>
          <w:marTop w:val="115"/>
          <w:marBottom w:val="0"/>
          <w:divBdr>
            <w:top w:val="none" w:sz="0" w:space="0" w:color="auto"/>
            <w:left w:val="none" w:sz="0" w:space="0" w:color="auto"/>
            <w:bottom w:val="none" w:sz="0" w:space="0" w:color="auto"/>
            <w:right w:val="none" w:sz="0" w:space="0" w:color="auto"/>
          </w:divBdr>
        </w:div>
      </w:divsChild>
    </w:div>
    <w:div w:id="125978254">
      <w:bodyDiv w:val="1"/>
      <w:marLeft w:val="0"/>
      <w:marRight w:val="0"/>
      <w:marTop w:val="0"/>
      <w:marBottom w:val="0"/>
      <w:divBdr>
        <w:top w:val="none" w:sz="0" w:space="0" w:color="auto"/>
        <w:left w:val="none" w:sz="0" w:space="0" w:color="auto"/>
        <w:bottom w:val="none" w:sz="0" w:space="0" w:color="auto"/>
        <w:right w:val="none" w:sz="0" w:space="0" w:color="auto"/>
      </w:divBdr>
    </w:div>
    <w:div w:id="217865696">
      <w:bodyDiv w:val="1"/>
      <w:marLeft w:val="0"/>
      <w:marRight w:val="0"/>
      <w:marTop w:val="0"/>
      <w:marBottom w:val="0"/>
      <w:divBdr>
        <w:top w:val="none" w:sz="0" w:space="0" w:color="auto"/>
        <w:left w:val="none" w:sz="0" w:space="0" w:color="auto"/>
        <w:bottom w:val="none" w:sz="0" w:space="0" w:color="auto"/>
        <w:right w:val="none" w:sz="0" w:space="0" w:color="auto"/>
      </w:divBdr>
    </w:div>
    <w:div w:id="299261831">
      <w:bodyDiv w:val="1"/>
      <w:marLeft w:val="0"/>
      <w:marRight w:val="0"/>
      <w:marTop w:val="0"/>
      <w:marBottom w:val="0"/>
      <w:divBdr>
        <w:top w:val="none" w:sz="0" w:space="0" w:color="auto"/>
        <w:left w:val="none" w:sz="0" w:space="0" w:color="auto"/>
        <w:bottom w:val="none" w:sz="0" w:space="0" w:color="auto"/>
        <w:right w:val="none" w:sz="0" w:space="0" w:color="auto"/>
      </w:divBdr>
      <w:divsChild>
        <w:div w:id="370618410">
          <w:marLeft w:val="1166"/>
          <w:marRight w:val="0"/>
          <w:marTop w:val="96"/>
          <w:marBottom w:val="0"/>
          <w:divBdr>
            <w:top w:val="none" w:sz="0" w:space="0" w:color="auto"/>
            <w:left w:val="none" w:sz="0" w:space="0" w:color="auto"/>
            <w:bottom w:val="none" w:sz="0" w:space="0" w:color="auto"/>
            <w:right w:val="none" w:sz="0" w:space="0" w:color="auto"/>
          </w:divBdr>
        </w:div>
        <w:div w:id="1386181690">
          <w:marLeft w:val="547"/>
          <w:marRight w:val="0"/>
          <w:marTop w:val="115"/>
          <w:marBottom w:val="0"/>
          <w:divBdr>
            <w:top w:val="none" w:sz="0" w:space="0" w:color="auto"/>
            <w:left w:val="none" w:sz="0" w:space="0" w:color="auto"/>
            <w:bottom w:val="none" w:sz="0" w:space="0" w:color="auto"/>
            <w:right w:val="none" w:sz="0" w:space="0" w:color="auto"/>
          </w:divBdr>
        </w:div>
        <w:div w:id="1554661009">
          <w:marLeft w:val="547"/>
          <w:marRight w:val="0"/>
          <w:marTop w:val="115"/>
          <w:marBottom w:val="0"/>
          <w:divBdr>
            <w:top w:val="none" w:sz="0" w:space="0" w:color="auto"/>
            <w:left w:val="none" w:sz="0" w:space="0" w:color="auto"/>
            <w:bottom w:val="none" w:sz="0" w:space="0" w:color="auto"/>
            <w:right w:val="none" w:sz="0" w:space="0" w:color="auto"/>
          </w:divBdr>
        </w:div>
        <w:div w:id="1555659178">
          <w:marLeft w:val="1166"/>
          <w:marRight w:val="0"/>
          <w:marTop w:val="96"/>
          <w:marBottom w:val="0"/>
          <w:divBdr>
            <w:top w:val="none" w:sz="0" w:space="0" w:color="auto"/>
            <w:left w:val="none" w:sz="0" w:space="0" w:color="auto"/>
            <w:bottom w:val="none" w:sz="0" w:space="0" w:color="auto"/>
            <w:right w:val="none" w:sz="0" w:space="0" w:color="auto"/>
          </w:divBdr>
        </w:div>
      </w:divsChild>
    </w:div>
    <w:div w:id="308169969">
      <w:bodyDiv w:val="1"/>
      <w:marLeft w:val="0"/>
      <w:marRight w:val="0"/>
      <w:marTop w:val="0"/>
      <w:marBottom w:val="0"/>
      <w:divBdr>
        <w:top w:val="none" w:sz="0" w:space="0" w:color="auto"/>
        <w:left w:val="none" w:sz="0" w:space="0" w:color="auto"/>
        <w:bottom w:val="none" w:sz="0" w:space="0" w:color="auto"/>
        <w:right w:val="none" w:sz="0" w:space="0" w:color="auto"/>
      </w:divBdr>
    </w:div>
    <w:div w:id="655112362">
      <w:bodyDiv w:val="1"/>
      <w:marLeft w:val="0"/>
      <w:marRight w:val="0"/>
      <w:marTop w:val="0"/>
      <w:marBottom w:val="0"/>
      <w:divBdr>
        <w:top w:val="none" w:sz="0" w:space="0" w:color="auto"/>
        <w:left w:val="none" w:sz="0" w:space="0" w:color="auto"/>
        <w:bottom w:val="none" w:sz="0" w:space="0" w:color="auto"/>
        <w:right w:val="none" w:sz="0" w:space="0" w:color="auto"/>
      </w:divBdr>
    </w:div>
    <w:div w:id="725567736">
      <w:bodyDiv w:val="1"/>
      <w:marLeft w:val="0"/>
      <w:marRight w:val="0"/>
      <w:marTop w:val="0"/>
      <w:marBottom w:val="0"/>
      <w:divBdr>
        <w:top w:val="none" w:sz="0" w:space="0" w:color="auto"/>
        <w:left w:val="none" w:sz="0" w:space="0" w:color="auto"/>
        <w:bottom w:val="none" w:sz="0" w:space="0" w:color="auto"/>
        <w:right w:val="none" w:sz="0" w:space="0" w:color="auto"/>
      </w:divBdr>
      <w:divsChild>
        <w:div w:id="1919895982">
          <w:marLeft w:val="547"/>
          <w:marRight w:val="0"/>
          <w:marTop w:val="115"/>
          <w:marBottom w:val="0"/>
          <w:divBdr>
            <w:top w:val="none" w:sz="0" w:space="0" w:color="auto"/>
            <w:left w:val="none" w:sz="0" w:space="0" w:color="auto"/>
            <w:bottom w:val="none" w:sz="0" w:space="0" w:color="auto"/>
            <w:right w:val="none" w:sz="0" w:space="0" w:color="auto"/>
          </w:divBdr>
        </w:div>
      </w:divsChild>
    </w:div>
    <w:div w:id="737485345">
      <w:bodyDiv w:val="1"/>
      <w:marLeft w:val="0"/>
      <w:marRight w:val="0"/>
      <w:marTop w:val="0"/>
      <w:marBottom w:val="0"/>
      <w:divBdr>
        <w:top w:val="none" w:sz="0" w:space="0" w:color="auto"/>
        <w:left w:val="none" w:sz="0" w:space="0" w:color="auto"/>
        <w:bottom w:val="none" w:sz="0" w:space="0" w:color="auto"/>
        <w:right w:val="none" w:sz="0" w:space="0" w:color="auto"/>
      </w:divBdr>
    </w:div>
    <w:div w:id="879315891">
      <w:bodyDiv w:val="1"/>
      <w:marLeft w:val="0"/>
      <w:marRight w:val="0"/>
      <w:marTop w:val="0"/>
      <w:marBottom w:val="0"/>
      <w:divBdr>
        <w:top w:val="none" w:sz="0" w:space="0" w:color="auto"/>
        <w:left w:val="none" w:sz="0" w:space="0" w:color="auto"/>
        <w:bottom w:val="none" w:sz="0" w:space="0" w:color="auto"/>
        <w:right w:val="none" w:sz="0" w:space="0" w:color="auto"/>
      </w:divBdr>
      <w:divsChild>
        <w:div w:id="569922279">
          <w:marLeft w:val="547"/>
          <w:marRight w:val="0"/>
          <w:marTop w:val="86"/>
          <w:marBottom w:val="0"/>
          <w:divBdr>
            <w:top w:val="none" w:sz="0" w:space="0" w:color="auto"/>
            <w:left w:val="none" w:sz="0" w:space="0" w:color="auto"/>
            <w:bottom w:val="none" w:sz="0" w:space="0" w:color="auto"/>
            <w:right w:val="none" w:sz="0" w:space="0" w:color="auto"/>
          </w:divBdr>
        </w:div>
        <w:div w:id="769667901">
          <w:marLeft w:val="547"/>
          <w:marRight w:val="0"/>
          <w:marTop w:val="86"/>
          <w:marBottom w:val="0"/>
          <w:divBdr>
            <w:top w:val="none" w:sz="0" w:space="0" w:color="auto"/>
            <w:left w:val="none" w:sz="0" w:space="0" w:color="auto"/>
            <w:bottom w:val="none" w:sz="0" w:space="0" w:color="auto"/>
            <w:right w:val="none" w:sz="0" w:space="0" w:color="auto"/>
          </w:divBdr>
        </w:div>
        <w:div w:id="1427775563">
          <w:marLeft w:val="547"/>
          <w:marRight w:val="0"/>
          <w:marTop w:val="86"/>
          <w:marBottom w:val="0"/>
          <w:divBdr>
            <w:top w:val="none" w:sz="0" w:space="0" w:color="auto"/>
            <w:left w:val="none" w:sz="0" w:space="0" w:color="auto"/>
            <w:bottom w:val="none" w:sz="0" w:space="0" w:color="auto"/>
            <w:right w:val="none" w:sz="0" w:space="0" w:color="auto"/>
          </w:divBdr>
        </w:div>
        <w:div w:id="1968773583">
          <w:marLeft w:val="547"/>
          <w:marRight w:val="0"/>
          <w:marTop w:val="86"/>
          <w:marBottom w:val="0"/>
          <w:divBdr>
            <w:top w:val="none" w:sz="0" w:space="0" w:color="auto"/>
            <w:left w:val="none" w:sz="0" w:space="0" w:color="auto"/>
            <w:bottom w:val="none" w:sz="0" w:space="0" w:color="auto"/>
            <w:right w:val="none" w:sz="0" w:space="0" w:color="auto"/>
          </w:divBdr>
        </w:div>
        <w:div w:id="2146392649">
          <w:marLeft w:val="547"/>
          <w:marRight w:val="0"/>
          <w:marTop w:val="86"/>
          <w:marBottom w:val="0"/>
          <w:divBdr>
            <w:top w:val="none" w:sz="0" w:space="0" w:color="auto"/>
            <w:left w:val="none" w:sz="0" w:space="0" w:color="auto"/>
            <w:bottom w:val="none" w:sz="0" w:space="0" w:color="auto"/>
            <w:right w:val="none" w:sz="0" w:space="0" w:color="auto"/>
          </w:divBdr>
        </w:div>
      </w:divsChild>
    </w:div>
    <w:div w:id="960456131">
      <w:bodyDiv w:val="1"/>
      <w:marLeft w:val="0"/>
      <w:marRight w:val="0"/>
      <w:marTop w:val="0"/>
      <w:marBottom w:val="0"/>
      <w:divBdr>
        <w:top w:val="none" w:sz="0" w:space="0" w:color="auto"/>
        <w:left w:val="none" w:sz="0" w:space="0" w:color="auto"/>
        <w:bottom w:val="none" w:sz="0" w:space="0" w:color="auto"/>
        <w:right w:val="none" w:sz="0" w:space="0" w:color="auto"/>
      </w:divBdr>
    </w:div>
    <w:div w:id="1040126640">
      <w:bodyDiv w:val="1"/>
      <w:marLeft w:val="0"/>
      <w:marRight w:val="0"/>
      <w:marTop w:val="0"/>
      <w:marBottom w:val="0"/>
      <w:divBdr>
        <w:top w:val="none" w:sz="0" w:space="0" w:color="auto"/>
        <w:left w:val="none" w:sz="0" w:space="0" w:color="auto"/>
        <w:bottom w:val="none" w:sz="0" w:space="0" w:color="auto"/>
        <w:right w:val="none" w:sz="0" w:space="0" w:color="auto"/>
      </w:divBdr>
    </w:div>
    <w:div w:id="1060202937">
      <w:bodyDiv w:val="1"/>
      <w:marLeft w:val="0"/>
      <w:marRight w:val="0"/>
      <w:marTop w:val="0"/>
      <w:marBottom w:val="0"/>
      <w:divBdr>
        <w:top w:val="none" w:sz="0" w:space="0" w:color="auto"/>
        <w:left w:val="none" w:sz="0" w:space="0" w:color="auto"/>
        <w:bottom w:val="none" w:sz="0" w:space="0" w:color="auto"/>
        <w:right w:val="none" w:sz="0" w:space="0" w:color="auto"/>
      </w:divBdr>
      <w:divsChild>
        <w:div w:id="1314482892">
          <w:marLeft w:val="547"/>
          <w:marRight w:val="0"/>
          <w:marTop w:val="115"/>
          <w:marBottom w:val="0"/>
          <w:divBdr>
            <w:top w:val="none" w:sz="0" w:space="0" w:color="auto"/>
            <w:left w:val="none" w:sz="0" w:space="0" w:color="auto"/>
            <w:bottom w:val="none" w:sz="0" w:space="0" w:color="auto"/>
            <w:right w:val="none" w:sz="0" w:space="0" w:color="auto"/>
          </w:divBdr>
        </w:div>
      </w:divsChild>
    </w:div>
    <w:div w:id="1136987964">
      <w:bodyDiv w:val="1"/>
      <w:marLeft w:val="0"/>
      <w:marRight w:val="0"/>
      <w:marTop w:val="0"/>
      <w:marBottom w:val="0"/>
      <w:divBdr>
        <w:top w:val="none" w:sz="0" w:space="0" w:color="auto"/>
        <w:left w:val="none" w:sz="0" w:space="0" w:color="auto"/>
        <w:bottom w:val="none" w:sz="0" w:space="0" w:color="auto"/>
        <w:right w:val="none" w:sz="0" w:space="0" w:color="auto"/>
      </w:divBdr>
    </w:div>
    <w:div w:id="1176580622">
      <w:bodyDiv w:val="1"/>
      <w:marLeft w:val="0"/>
      <w:marRight w:val="0"/>
      <w:marTop w:val="0"/>
      <w:marBottom w:val="0"/>
      <w:divBdr>
        <w:top w:val="none" w:sz="0" w:space="0" w:color="auto"/>
        <w:left w:val="none" w:sz="0" w:space="0" w:color="auto"/>
        <w:bottom w:val="none" w:sz="0" w:space="0" w:color="auto"/>
        <w:right w:val="none" w:sz="0" w:space="0" w:color="auto"/>
      </w:divBdr>
    </w:div>
    <w:div w:id="117669916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61">
          <w:marLeft w:val="547"/>
          <w:marRight w:val="0"/>
          <w:marTop w:val="115"/>
          <w:marBottom w:val="0"/>
          <w:divBdr>
            <w:top w:val="none" w:sz="0" w:space="0" w:color="auto"/>
            <w:left w:val="none" w:sz="0" w:space="0" w:color="auto"/>
            <w:bottom w:val="none" w:sz="0" w:space="0" w:color="auto"/>
            <w:right w:val="none" w:sz="0" w:space="0" w:color="auto"/>
          </w:divBdr>
        </w:div>
      </w:divsChild>
    </w:div>
    <w:div w:id="1211385715">
      <w:bodyDiv w:val="1"/>
      <w:marLeft w:val="0"/>
      <w:marRight w:val="0"/>
      <w:marTop w:val="0"/>
      <w:marBottom w:val="0"/>
      <w:divBdr>
        <w:top w:val="none" w:sz="0" w:space="0" w:color="auto"/>
        <w:left w:val="none" w:sz="0" w:space="0" w:color="auto"/>
        <w:bottom w:val="none" w:sz="0" w:space="0" w:color="auto"/>
        <w:right w:val="none" w:sz="0" w:space="0" w:color="auto"/>
      </w:divBdr>
    </w:div>
    <w:div w:id="1235890459">
      <w:bodyDiv w:val="1"/>
      <w:marLeft w:val="0"/>
      <w:marRight w:val="0"/>
      <w:marTop w:val="0"/>
      <w:marBottom w:val="0"/>
      <w:divBdr>
        <w:top w:val="none" w:sz="0" w:space="0" w:color="auto"/>
        <w:left w:val="none" w:sz="0" w:space="0" w:color="auto"/>
        <w:bottom w:val="none" w:sz="0" w:space="0" w:color="auto"/>
        <w:right w:val="none" w:sz="0" w:space="0" w:color="auto"/>
      </w:divBdr>
      <w:divsChild>
        <w:div w:id="1242061899">
          <w:marLeft w:val="0"/>
          <w:marRight w:val="0"/>
          <w:marTop w:val="0"/>
          <w:marBottom w:val="0"/>
          <w:divBdr>
            <w:top w:val="none" w:sz="0" w:space="0" w:color="auto"/>
            <w:left w:val="none" w:sz="0" w:space="0" w:color="auto"/>
            <w:bottom w:val="none" w:sz="0" w:space="0" w:color="auto"/>
            <w:right w:val="none" w:sz="0" w:space="0" w:color="auto"/>
          </w:divBdr>
        </w:div>
        <w:div w:id="1405839463">
          <w:marLeft w:val="0"/>
          <w:marRight w:val="0"/>
          <w:marTop w:val="0"/>
          <w:marBottom w:val="0"/>
          <w:divBdr>
            <w:top w:val="none" w:sz="0" w:space="0" w:color="auto"/>
            <w:left w:val="none" w:sz="0" w:space="0" w:color="auto"/>
            <w:bottom w:val="none" w:sz="0" w:space="0" w:color="auto"/>
            <w:right w:val="none" w:sz="0" w:space="0" w:color="auto"/>
          </w:divBdr>
        </w:div>
        <w:div w:id="1497770933">
          <w:marLeft w:val="0"/>
          <w:marRight w:val="0"/>
          <w:marTop w:val="0"/>
          <w:marBottom w:val="0"/>
          <w:divBdr>
            <w:top w:val="none" w:sz="0" w:space="0" w:color="auto"/>
            <w:left w:val="none" w:sz="0" w:space="0" w:color="auto"/>
            <w:bottom w:val="none" w:sz="0" w:space="0" w:color="auto"/>
            <w:right w:val="none" w:sz="0" w:space="0" w:color="auto"/>
          </w:divBdr>
        </w:div>
        <w:div w:id="1806963919">
          <w:marLeft w:val="0"/>
          <w:marRight w:val="0"/>
          <w:marTop w:val="0"/>
          <w:marBottom w:val="0"/>
          <w:divBdr>
            <w:top w:val="none" w:sz="0" w:space="0" w:color="auto"/>
            <w:left w:val="none" w:sz="0" w:space="0" w:color="auto"/>
            <w:bottom w:val="none" w:sz="0" w:space="0" w:color="auto"/>
            <w:right w:val="none" w:sz="0" w:space="0" w:color="auto"/>
          </w:divBdr>
        </w:div>
      </w:divsChild>
    </w:div>
    <w:div w:id="1287932160">
      <w:bodyDiv w:val="1"/>
      <w:marLeft w:val="0"/>
      <w:marRight w:val="0"/>
      <w:marTop w:val="0"/>
      <w:marBottom w:val="0"/>
      <w:divBdr>
        <w:top w:val="none" w:sz="0" w:space="0" w:color="auto"/>
        <w:left w:val="none" w:sz="0" w:space="0" w:color="auto"/>
        <w:bottom w:val="none" w:sz="0" w:space="0" w:color="auto"/>
        <w:right w:val="none" w:sz="0" w:space="0" w:color="auto"/>
      </w:divBdr>
    </w:div>
    <w:div w:id="1298148083">
      <w:bodyDiv w:val="1"/>
      <w:marLeft w:val="0"/>
      <w:marRight w:val="0"/>
      <w:marTop w:val="0"/>
      <w:marBottom w:val="0"/>
      <w:divBdr>
        <w:top w:val="none" w:sz="0" w:space="0" w:color="auto"/>
        <w:left w:val="none" w:sz="0" w:space="0" w:color="auto"/>
        <w:bottom w:val="none" w:sz="0" w:space="0" w:color="auto"/>
        <w:right w:val="none" w:sz="0" w:space="0" w:color="auto"/>
      </w:divBdr>
      <w:divsChild>
        <w:div w:id="1595362481">
          <w:marLeft w:val="1166"/>
          <w:marRight w:val="0"/>
          <w:marTop w:val="96"/>
          <w:marBottom w:val="0"/>
          <w:divBdr>
            <w:top w:val="none" w:sz="0" w:space="0" w:color="auto"/>
            <w:left w:val="none" w:sz="0" w:space="0" w:color="auto"/>
            <w:bottom w:val="none" w:sz="0" w:space="0" w:color="auto"/>
            <w:right w:val="none" w:sz="0" w:space="0" w:color="auto"/>
          </w:divBdr>
        </w:div>
      </w:divsChild>
    </w:div>
    <w:div w:id="1371342627">
      <w:bodyDiv w:val="1"/>
      <w:marLeft w:val="0"/>
      <w:marRight w:val="0"/>
      <w:marTop w:val="0"/>
      <w:marBottom w:val="0"/>
      <w:divBdr>
        <w:top w:val="none" w:sz="0" w:space="0" w:color="auto"/>
        <w:left w:val="none" w:sz="0" w:space="0" w:color="auto"/>
        <w:bottom w:val="none" w:sz="0" w:space="0" w:color="auto"/>
        <w:right w:val="none" w:sz="0" w:space="0" w:color="auto"/>
      </w:divBdr>
    </w:div>
    <w:div w:id="1460492957">
      <w:bodyDiv w:val="1"/>
      <w:marLeft w:val="0"/>
      <w:marRight w:val="0"/>
      <w:marTop w:val="0"/>
      <w:marBottom w:val="0"/>
      <w:divBdr>
        <w:top w:val="none" w:sz="0" w:space="0" w:color="auto"/>
        <w:left w:val="none" w:sz="0" w:space="0" w:color="auto"/>
        <w:bottom w:val="none" w:sz="0" w:space="0" w:color="auto"/>
        <w:right w:val="none" w:sz="0" w:space="0" w:color="auto"/>
      </w:divBdr>
    </w:div>
    <w:div w:id="1547990594">
      <w:bodyDiv w:val="1"/>
      <w:marLeft w:val="0"/>
      <w:marRight w:val="0"/>
      <w:marTop w:val="0"/>
      <w:marBottom w:val="0"/>
      <w:divBdr>
        <w:top w:val="none" w:sz="0" w:space="0" w:color="auto"/>
        <w:left w:val="none" w:sz="0" w:space="0" w:color="auto"/>
        <w:bottom w:val="none" w:sz="0" w:space="0" w:color="auto"/>
        <w:right w:val="none" w:sz="0" w:space="0" w:color="auto"/>
      </w:divBdr>
      <w:divsChild>
        <w:div w:id="549461774">
          <w:marLeft w:val="0"/>
          <w:marRight w:val="0"/>
          <w:marTop w:val="0"/>
          <w:marBottom w:val="0"/>
          <w:divBdr>
            <w:top w:val="none" w:sz="0" w:space="0" w:color="auto"/>
            <w:left w:val="none" w:sz="0" w:space="0" w:color="auto"/>
            <w:bottom w:val="none" w:sz="0" w:space="0" w:color="auto"/>
            <w:right w:val="none" w:sz="0" w:space="0" w:color="auto"/>
          </w:divBdr>
        </w:div>
        <w:div w:id="588586784">
          <w:marLeft w:val="0"/>
          <w:marRight w:val="0"/>
          <w:marTop w:val="0"/>
          <w:marBottom w:val="0"/>
          <w:divBdr>
            <w:top w:val="none" w:sz="0" w:space="0" w:color="auto"/>
            <w:left w:val="none" w:sz="0" w:space="0" w:color="auto"/>
            <w:bottom w:val="none" w:sz="0" w:space="0" w:color="auto"/>
            <w:right w:val="none" w:sz="0" w:space="0" w:color="auto"/>
          </w:divBdr>
        </w:div>
        <w:div w:id="1632516276">
          <w:marLeft w:val="0"/>
          <w:marRight w:val="0"/>
          <w:marTop w:val="0"/>
          <w:marBottom w:val="0"/>
          <w:divBdr>
            <w:top w:val="none" w:sz="0" w:space="0" w:color="auto"/>
            <w:left w:val="none" w:sz="0" w:space="0" w:color="auto"/>
            <w:bottom w:val="none" w:sz="0" w:space="0" w:color="auto"/>
            <w:right w:val="none" w:sz="0" w:space="0" w:color="auto"/>
          </w:divBdr>
        </w:div>
        <w:div w:id="2095929092">
          <w:marLeft w:val="0"/>
          <w:marRight w:val="0"/>
          <w:marTop w:val="0"/>
          <w:marBottom w:val="0"/>
          <w:divBdr>
            <w:top w:val="none" w:sz="0" w:space="0" w:color="auto"/>
            <w:left w:val="none" w:sz="0" w:space="0" w:color="auto"/>
            <w:bottom w:val="none" w:sz="0" w:space="0" w:color="auto"/>
            <w:right w:val="none" w:sz="0" w:space="0" w:color="auto"/>
          </w:divBdr>
        </w:div>
      </w:divsChild>
    </w:div>
    <w:div w:id="1640040233">
      <w:bodyDiv w:val="1"/>
      <w:marLeft w:val="0"/>
      <w:marRight w:val="0"/>
      <w:marTop w:val="0"/>
      <w:marBottom w:val="0"/>
      <w:divBdr>
        <w:top w:val="none" w:sz="0" w:space="0" w:color="auto"/>
        <w:left w:val="none" w:sz="0" w:space="0" w:color="auto"/>
        <w:bottom w:val="none" w:sz="0" w:space="0" w:color="auto"/>
        <w:right w:val="none" w:sz="0" w:space="0" w:color="auto"/>
      </w:divBdr>
    </w:div>
    <w:div w:id="1640111558">
      <w:bodyDiv w:val="1"/>
      <w:marLeft w:val="0"/>
      <w:marRight w:val="0"/>
      <w:marTop w:val="0"/>
      <w:marBottom w:val="0"/>
      <w:divBdr>
        <w:top w:val="none" w:sz="0" w:space="0" w:color="auto"/>
        <w:left w:val="none" w:sz="0" w:space="0" w:color="auto"/>
        <w:bottom w:val="none" w:sz="0" w:space="0" w:color="auto"/>
        <w:right w:val="none" w:sz="0" w:space="0" w:color="auto"/>
      </w:divBdr>
    </w:div>
    <w:div w:id="1680812649">
      <w:bodyDiv w:val="1"/>
      <w:marLeft w:val="0"/>
      <w:marRight w:val="0"/>
      <w:marTop w:val="0"/>
      <w:marBottom w:val="0"/>
      <w:divBdr>
        <w:top w:val="none" w:sz="0" w:space="0" w:color="auto"/>
        <w:left w:val="none" w:sz="0" w:space="0" w:color="auto"/>
        <w:bottom w:val="none" w:sz="0" w:space="0" w:color="auto"/>
        <w:right w:val="none" w:sz="0" w:space="0" w:color="auto"/>
      </w:divBdr>
    </w:div>
    <w:div w:id="1698311992">
      <w:bodyDiv w:val="1"/>
      <w:marLeft w:val="0"/>
      <w:marRight w:val="0"/>
      <w:marTop w:val="0"/>
      <w:marBottom w:val="0"/>
      <w:divBdr>
        <w:top w:val="none" w:sz="0" w:space="0" w:color="auto"/>
        <w:left w:val="none" w:sz="0" w:space="0" w:color="auto"/>
        <w:bottom w:val="none" w:sz="0" w:space="0" w:color="auto"/>
        <w:right w:val="none" w:sz="0" w:space="0" w:color="auto"/>
      </w:divBdr>
      <w:divsChild>
        <w:div w:id="64106468">
          <w:marLeft w:val="0"/>
          <w:marRight w:val="0"/>
          <w:marTop w:val="0"/>
          <w:marBottom w:val="0"/>
          <w:divBdr>
            <w:top w:val="none" w:sz="0" w:space="0" w:color="auto"/>
            <w:left w:val="none" w:sz="0" w:space="0" w:color="auto"/>
            <w:bottom w:val="none" w:sz="0" w:space="0" w:color="auto"/>
            <w:right w:val="none" w:sz="0" w:space="0" w:color="auto"/>
          </w:divBdr>
        </w:div>
        <w:div w:id="105465410">
          <w:marLeft w:val="0"/>
          <w:marRight w:val="0"/>
          <w:marTop w:val="0"/>
          <w:marBottom w:val="0"/>
          <w:divBdr>
            <w:top w:val="none" w:sz="0" w:space="0" w:color="auto"/>
            <w:left w:val="none" w:sz="0" w:space="0" w:color="auto"/>
            <w:bottom w:val="none" w:sz="0" w:space="0" w:color="auto"/>
            <w:right w:val="none" w:sz="0" w:space="0" w:color="auto"/>
          </w:divBdr>
        </w:div>
        <w:div w:id="1016270221">
          <w:marLeft w:val="0"/>
          <w:marRight w:val="0"/>
          <w:marTop w:val="0"/>
          <w:marBottom w:val="0"/>
          <w:divBdr>
            <w:top w:val="none" w:sz="0" w:space="0" w:color="auto"/>
            <w:left w:val="none" w:sz="0" w:space="0" w:color="auto"/>
            <w:bottom w:val="none" w:sz="0" w:space="0" w:color="auto"/>
            <w:right w:val="none" w:sz="0" w:space="0" w:color="auto"/>
          </w:divBdr>
        </w:div>
        <w:div w:id="1253859954">
          <w:marLeft w:val="0"/>
          <w:marRight w:val="0"/>
          <w:marTop w:val="0"/>
          <w:marBottom w:val="0"/>
          <w:divBdr>
            <w:top w:val="none" w:sz="0" w:space="0" w:color="auto"/>
            <w:left w:val="none" w:sz="0" w:space="0" w:color="auto"/>
            <w:bottom w:val="none" w:sz="0" w:space="0" w:color="auto"/>
            <w:right w:val="none" w:sz="0" w:space="0" w:color="auto"/>
          </w:divBdr>
        </w:div>
        <w:div w:id="1524708624">
          <w:marLeft w:val="0"/>
          <w:marRight w:val="0"/>
          <w:marTop w:val="0"/>
          <w:marBottom w:val="0"/>
          <w:divBdr>
            <w:top w:val="none" w:sz="0" w:space="0" w:color="auto"/>
            <w:left w:val="none" w:sz="0" w:space="0" w:color="auto"/>
            <w:bottom w:val="none" w:sz="0" w:space="0" w:color="auto"/>
            <w:right w:val="none" w:sz="0" w:space="0" w:color="auto"/>
          </w:divBdr>
        </w:div>
        <w:div w:id="1608737235">
          <w:marLeft w:val="0"/>
          <w:marRight w:val="0"/>
          <w:marTop w:val="0"/>
          <w:marBottom w:val="0"/>
          <w:divBdr>
            <w:top w:val="none" w:sz="0" w:space="0" w:color="auto"/>
            <w:left w:val="none" w:sz="0" w:space="0" w:color="auto"/>
            <w:bottom w:val="none" w:sz="0" w:space="0" w:color="auto"/>
            <w:right w:val="none" w:sz="0" w:space="0" w:color="auto"/>
          </w:divBdr>
        </w:div>
        <w:div w:id="1995528632">
          <w:marLeft w:val="0"/>
          <w:marRight w:val="0"/>
          <w:marTop w:val="0"/>
          <w:marBottom w:val="0"/>
          <w:divBdr>
            <w:top w:val="none" w:sz="0" w:space="0" w:color="auto"/>
            <w:left w:val="none" w:sz="0" w:space="0" w:color="auto"/>
            <w:bottom w:val="none" w:sz="0" w:space="0" w:color="auto"/>
            <w:right w:val="none" w:sz="0" w:space="0" w:color="auto"/>
          </w:divBdr>
        </w:div>
        <w:div w:id="2011371458">
          <w:marLeft w:val="0"/>
          <w:marRight w:val="0"/>
          <w:marTop w:val="0"/>
          <w:marBottom w:val="0"/>
          <w:divBdr>
            <w:top w:val="none" w:sz="0" w:space="0" w:color="auto"/>
            <w:left w:val="none" w:sz="0" w:space="0" w:color="auto"/>
            <w:bottom w:val="none" w:sz="0" w:space="0" w:color="auto"/>
            <w:right w:val="none" w:sz="0" w:space="0" w:color="auto"/>
          </w:divBdr>
        </w:div>
      </w:divsChild>
    </w:div>
    <w:div w:id="1813869904">
      <w:bodyDiv w:val="1"/>
      <w:marLeft w:val="0"/>
      <w:marRight w:val="0"/>
      <w:marTop w:val="0"/>
      <w:marBottom w:val="0"/>
      <w:divBdr>
        <w:top w:val="none" w:sz="0" w:space="0" w:color="auto"/>
        <w:left w:val="none" w:sz="0" w:space="0" w:color="auto"/>
        <w:bottom w:val="none" w:sz="0" w:space="0" w:color="auto"/>
        <w:right w:val="none" w:sz="0" w:space="0" w:color="auto"/>
      </w:divBdr>
      <w:divsChild>
        <w:div w:id="46993348">
          <w:marLeft w:val="1166"/>
          <w:marRight w:val="0"/>
          <w:marTop w:val="96"/>
          <w:marBottom w:val="0"/>
          <w:divBdr>
            <w:top w:val="none" w:sz="0" w:space="0" w:color="auto"/>
            <w:left w:val="none" w:sz="0" w:space="0" w:color="auto"/>
            <w:bottom w:val="none" w:sz="0" w:space="0" w:color="auto"/>
            <w:right w:val="none" w:sz="0" w:space="0" w:color="auto"/>
          </w:divBdr>
        </w:div>
      </w:divsChild>
    </w:div>
    <w:div w:id="1916091767">
      <w:bodyDiv w:val="1"/>
      <w:marLeft w:val="0"/>
      <w:marRight w:val="0"/>
      <w:marTop w:val="0"/>
      <w:marBottom w:val="0"/>
      <w:divBdr>
        <w:top w:val="none" w:sz="0" w:space="0" w:color="auto"/>
        <w:left w:val="none" w:sz="0" w:space="0" w:color="auto"/>
        <w:bottom w:val="none" w:sz="0" w:space="0" w:color="auto"/>
        <w:right w:val="none" w:sz="0" w:space="0" w:color="auto"/>
      </w:divBdr>
    </w:div>
    <w:div w:id="2114477047">
      <w:bodyDiv w:val="1"/>
      <w:marLeft w:val="0"/>
      <w:marRight w:val="0"/>
      <w:marTop w:val="0"/>
      <w:marBottom w:val="0"/>
      <w:divBdr>
        <w:top w:val="none" w:sz="0" w:space="0" w:color="auto"/>
        <w:left w:val="none" w:sz="0" w:space="0" w:color="auto"/>
        <w:bottom w:val="none" w:sz="0" w:space="0" w:color="auto"/>
        <w:right w:val="none" w:sz="0" w:space="0" w:color="auto"/>
      </w:divBdr>
    </w:div>
    <w:div w:id="2127234405">
      <w:bodyDiv w:val="1"/>
      <w:marLeft w:val="0"/>
      <w:marRight w:val="0"/>
      <w:marTop w:val="0"/>
      <w:marBottom w:val="0"/>
      <w:divBdr>
        <w:top w:val="none" w:sz="0" w:space="0" w:color="auto"/>
        <w:left w:val="none" w:sz="0" w:space="0" w:color="auto"/>
        <w:bottom w:val="none" w:sz="0" w:space="0" w:color="auto"/>
        <w:right w:val="none" w:sz="0" w:space="0" w:color="auto"/>
      </w:divBdr>
      <w:divsChild>
        <w:div w:id="421148112">
          <w:marLeft w:val="547"/>
          <w:marRight w:val="0"/>
          <w:marTop w:val="115"/>
          <w:marBottom w:val="0"/>
          <w:divBdr>
            <w:top w:val="none" w:sz="0" w:space="0" w:color="auto"/>
            <w:left w:val="none" w:sz="0" w:space="0" w:color="auto"/>
            <w:bottom w:val="none" w:sz="0" w:space="0" w:color="auto"/>
            <w:right w:val="none" w:sz="0" w:space="0" w:color="auto"/>
          </w:divBdr>
        </w:div>
      </w:divsChild>
    </w:div>
    <w:div w:id="21411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ne.gaunand@inr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538E-969F-4769-9F11-C030AC6E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10651</Words>
  <Characters>58583</Characters>
  <Application>Microsoft Office Word</Application>
  <DocSecurity>0</DocSecurity>
  <Lines>488</Lines>
  <Paragraphs>138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Company>
  <LinksUpToDate>false</LinksUpToDate>
  <CharactersWithSpaces>69096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Colinet</dc:creator>
  <cp:lastModifiedBy>Laurence Colinet</cp:lastModifiedBy>
  <cp:revision>2</cp:revision>
  <cp:lastPrinted>2017-03-17T14:15:00Z</cp:lastPrinted>
  <dcterms:created xsi:type="dcterms:W3CDTF">2017-05-09T14:43:00Z</dcterms:created>
  <dcterms:modified xsi:type="dcterms:W3CDTF">2017-05-09T14:43:00Z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zotero-version="4.0.29.18"&gt;&lt;session id="0slUmaE6"/&gt;&lt;style id="http://www.zotero.org/styles/springer-socpsych-author-date" locale="fr-FR" hasBibliography="1" bibliographyStyleHasBeenSet="1"/&gt;&lt;prefs&gt;&lt;pref name="fieldType" value="Field</vt:lpwstr>
  </property>
  <property fmtid="{D5CDD505-2E9C-101B-9397-08002B2CF9AE}" pid="3" name="ZOTERO_PREF_2">
    <vt:lpwstr>"/&gt;&lt;pref name="storeReferences" value="true"/&gt;&lt;pref name="automaticJournalAbbreviations" value=""/&gt;&lt;pref name="noteType" value=""/&gt;&lt;/prefs&gt;&lt;/data&gt;</vt:lpwstr>
  </property>
</Properties>
</file>