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3FA4D3F4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bookmarkStart w:id="0" w:name="_GoBack"/>
      <w:bookmarkEnd w:id="0"/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705EE2">
        <w:rPr>
          <w:rFonts w:ascii="Times New Roman" w:hAnsi="Times New Roman" w:cs="Times New Roman"/>
          <w:b/>
          <w:sz w:val="30"/>
          <w:szCs w:val="30"/>
          <w:u w:val="single"/>
        </w:rPr>
        <w:t> : TAC Saumon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705EE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 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BF17FA" w:rsidRPr="00705EE2">
              <w:rPr>
                <w:rFonts w:ascii="Times New Roman" w:hAnsi="Times New Roman" w:cs="Times New Roman"/>
                <w:color w:val="auto"/>
                <w:sz w:val="20"/>
              </w:rPr>
              <w:t>es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t innovante ou prometteuse et de bonne qualité. C</w:t>
            </w:r>
            <w:r w:rsidR="00BF17FA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’est une 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745D5200" w:rsidR="00BB1CCF" w:rsidRPr="008173C7" w:rsidRDefault="00705EE2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77777777" w:rsidR="00BB1CCF" w:rsidRPr="00B81BD2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solution 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a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de façon importante à l’échelle internationale.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705EE2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 solution a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été </w:t>
            </w:r>
            <w:proofErr w:type="gramStart"/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adoptée 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significativement</w:t>
            </w:r>
            <w:proofErr w:type="gramEnd"/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à l’échelle nationale </w:t>
            </w:r>
            <w:r w:rsidR="005E43F9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à 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>une échelle pertinente.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Diffusion </w:t>
            </w:r>
            <w:r w:rsidR="005E43F9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en France 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à l’échelle de multiples parcelle</w:t>
            </w:r>
            <w:r w:rsidR="000D0BB4" w:rsidRPr="00705EE2">
              <w:rPr>
                <w:rFonts w:ascii="Times New Roman" w:hAnsi="Times New Roman" w:cs="Times New Roman"/>
                <w:color w:val="auto"/>
                <w:sz w:val="20"/>
              </w:rPr>
              <w:t>s, entreprises,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monographies, d’une ré</w:t>
            </w:r>
            <w:r w:rsidR="004D0F9E" w:rsidRPr="00705EE2">
              <w:rPr>
                <w:rFonts w:ascii="Times New Roman" w:hAnsi="Times New Roman" w:cs="Times New Roman"/>
                <w:color w:val="auto"/>
                <w:sz w:val="20"/>
              </w:rPr>
              <w:t>gion agricole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455CDCB5" w:rsidR="00BB1CCF" w:rsidRPr="008173C7" w:rsidRDefault="00705EE2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705EE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solution proposée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concerne</w:t>
            </w:r>
            <w:r w:rsidR="000D0BB4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de nombreux act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eurs </w:t>
            </w:r>
            <w:r w:rsidR="000D0BB4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divers 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>et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amorce</w:t>
            </w:r>
            <w:r w:rsidR="00BB1CCF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705EE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situation atteinte est performante </w:t>
            </w:r>
            <w:r w:rsidR="000D408F">
              <w:rPr>
                <w:rFonts w:ascii="Times New Roman" w:hAnsi="Times New Roman" w:cs="Times New Roman"/>
                <w:sz w:val="20"/>
              </w:rPr>
              <w:t xml:space="preserve">et </w:t>
            </w:r>
            <w:r w:rsidRPr="00B81BD2">
              <w:rPr>
                <w:rFonts w:ascii="Times New Roman" w:hAnsi="Times New Roman" w:cs="Times New Roman"/>
                <w:sz w:val="20"/>
              </w:rPr>
              <w:t>mobilise un système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168BF255" w:rsidR="00BB1CCF" w:rsidRPr="008173C7" w:rsidRDefault="00705EE2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51575AA1" w:rsidR="00BB1CCF" w:rsidRPr="008173C7" w:rsidRDefault="00705EE2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Pr="00705EE2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Les enjeux de biodiversité sont forts ou croissants</w:t>
            </w:r>
            <w:r w:rsidR="00511C37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et relatifs au m</w:t>
            </w:r>
            <w:r w:rsidR="00FC444F" w:rsidRPr="00705EE2">
              <w:rPr>
                <w:rFonts w:ascii="Times New Roman" w:hAnsi="Times New Roman" w:cs="Times New Roman"/>
                <w:color w:val="auto"/>
                <w:sz w:val="20"/>
              </w:rPr>
              <w:t>aintien de bi</w:t>
            </w:r>
            <w:r w:rsidR="00BC20B0" w:rsidRPr="00705EE2">
              <w:rPr>
                <w:rFonts w:ascii="Times New Roman" w:hAnsi="Times New Roman" w:cs="Times New Roman"/>
                <w:color w:val="auto"/>
                <w:sz w:val="20"/>
              </w:rPr>
              <w:t>odiversité protégée.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1F3CBA0B" w:rsidR="00CE3213" w:rsidRPr="008173C7" w:rsidRDefault="00705EE2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705EE2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705EE2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77B9EC85" w:rsidR="00CE3213" w:rsidRPr="008173C7" w:rsidRDefault="00705EE2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705EE2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solution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a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significativement, 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CB1E3E" w:rsidRPr="00705EE2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32B390D2" w:rsidR="00CE3213" w:rsidRPr="008173C7" w:rsidRDefault="00705EE2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1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3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4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6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705EE2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Maintien/restauration de biodiversité domestique. </w:t>
            </w:r>
            <w:r w:rsidR="002C431E" w:rsidRPr="00705EE2">
              <w:rPr>
                <w:rFonts w:ascii="Times New Roman" w:hAnsi="Times New Roman" w:cs="Times New Roman"/>
                <w:color w:val="auto"/>
                <w:sz w:val="20"/>
              </w:rPr>
              <w:t>Mais l</w:t>
            </w:r>
            <w:r w:rsidR="00FE3BCF" w:rsidRPr="00705EE2">
              <w:rPr>
                <w:rFonts w:ascii="Times New Roman" w:hAnsi="Times New Roman" w:cs="Times New Roman"/>
                <w:color w:val="auto"/>
                <w:sz w:val="20"/>
              </w:rPr>
              <w:t>a solution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ne favorise qu’un seul sujet de biodiversité (ex</w:t>
            </w:r>
            <w:r w:rsidR="00511C37" w:rsidRPr="00705EE2">
              <w:rPr>
                <w:rFonts w:ascii="Times New Roman" w:hAnsi="Times New Roman" w:cs="Times New Roman"/>
                <w:color w:val="auto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>affecte les écosystèmes, mais pas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sur</w:t>
            </w:r>
            <w:r w:rsidR="009750B5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l’ensemble des différentes dimensions de la biodiversité</w:t>
            </w:r>
            <w:r w:rsidR="000E06A1" w:rsidRPr="00705EE2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2DC78E59" w:rsidR="00CE3213" w:rsidRPr="00CE3213" w:rsidRDefault="00705EE2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0D4702A7" w:rsidR="00CE3213" w:rsidRPr="008173C7" w:rsidRDefault="00705EE2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77777777" w:rsidR="00FA1039" w:rsidRPr="00BF04D7" w:rsidRDefault="00FA1039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Des alternatives peuvent présenter de meilleures performances,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mais l’optimisation du changement climatique 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6867B4A7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7777777" w:rsidR="00FA1039" w:rsidRPr="00BF04D7" w:rsidRDefault="00FA1039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783D78B6" w:rsidR="00FA1039" w:rsidRPr="00BF04D7" w:rsidRDefault="00705EE2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44364A54" w:rsidR="00FA1039" w:rsidRPr="00BF04D7" w:rsidRDefault="00705EE2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77777777" w:rsidR="00B45879" w:rsidRPr="008173C7" w:rsidRDefault="00B45879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proposée supprime tout rejet ponctuel ou diffus dans l’environnement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77777777" w:rsidR="00B45879" w:rsidRPr="008173C7" w:rsidRDefault="00B45879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a été significativement adoptée à une échelle pertinente pour la gestion des pollutions</w:t>
            </w:r>
            <w:r w:rsidR="001557E6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77777777" w:rsidR="00B45879" w:rsidRPr="008173C7" w:rsidRDefault="00B45879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Diminution de la pollut</w:t>
            </w:r>
            <w:r w:rsidR="00F65BC9">
              <w:rPr>
                <w:rFonts w:ascii="Times New Roman" w:hAnsi="Times New Roman" w:cs="Times New Roman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Innovation</w:t>
            </w:r>
            <w:r w:rsidR="00B45879"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71CE648F" w:rsidR="00B45879" w:rsidRPr="00CE3213" w:rsidRDefault="00705EE2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695BE8D4" w:rsidR="00B45879" w:rsidRPr="008173C7" w:rsidRDefault="00705EE2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7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7777777" w:rsidR="009E3391" w:rsidRPr="008173C7" w:rsidRDefault="009E339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solution a été significativement adoptée à une échelle pertinente pour la gestion des </w:t>
            </w:r>
            <w:r w:rsidR="00AB72F2">
              <w:rPr>
                <w:rFonts w:ascii="Times New Roman" w:hAnsi="Times New Roman" w:cs="Times New Roman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>Innovation neutre du point de vue de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05FFF086" w:rsidR="009E3391" w:rsidRPr="00CE3213" w:rsidRDefault="00705EE2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0F10D9B9" w:rsidR="009E3391" w:rsidRPr="008173C7" w:rsidRDefault="00705EE2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47D400A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240E6B18" w14:textId="269E578F" w:rsidR="00705EE2" w:rsidRDefault="00705EE2" w:rsidP="00190716">
      <w:pPr>
        <w:pStyle w:val="LO-Normal"/>
      </w:pPr>
    </w:p>
    <w:p w14:paraId="2391D574" w14:textId="6D88D788" w:rsidR="00705EE2" w:rsidRDefault="00705EE2" w:rsidP="00190716">
      <w:pPr>
        <w:pStyle w:val="LO-Normal"/>
      </w:pPr>
      <w:r>
        <w:t>3x5+2x4=1x3+1x2=1= 2,41</w:t>
      </w:r>
    </w:p>
    <w:p w14:paraId="35C17544" w14:textId="59BC8B17" w:rsidR="00705EE2" w:rsidRDefault="00705EE2" w:rsidP="00190716">
      <w:pPr>
        <w:pStyle w:val="LO-Normal"/>
      </w:pPr>
    </w:p>
    <w:p w14:paraId="3130E5F2" w14:textId="20DDE334" w:rsidR="00705EE2" w:rsidRPr="00705EE2" w:rsidRDefault="00705EE2" w:rsidP="00190716">
      <w:pPr>
        <w:pStyle w:val="LO-Normal"/>
        <w:rPr>
          <w:color w:val="FF0000"/>
          <w:sz w:val="40"/>
          <w:szCs w:val="40"/>
        </w:rPr>
        <w:sectPr w:rsidR="00705EE2" w:rsidRPr="00705EE2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 w:rsidRPr="00705EE2">
        <w:rPr>
          <w:color w:val="FF0000"/>
          <w:sz w:val="40"/>
          <w:szCs w:val="40"/>
        </w:rPr>
        <w:t>Note de 2,41</w:t>
      </w: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65305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452A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BF6958" w:rsidRDefault="00BF6958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BF6958" w:rsidRDefault="00BF6958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BF6958" w:rsidRDefault="00BF6958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BF6958" w:rsidRDefault="00BF6958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BF6958" w:rsidRDefault="0086003B">
    <w:pPr>
      <w:pStyle w:val="En-tte"/>
    </w:pPr>
    <w:r>
      <w:t>19</w:t>
    </w:r>
    <w:r w:rsidR="00BF6958">
      <w:t>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07ED"/>
    <w:rsid w:val="00614F64"/>
    <w:rsid w:val="00654EC3"/>
    <w:rsid w:val="0067059F"/>
    <w:rsid w:val="00684F2E"/>
    <w:rsid w:val="006A7813"/>
    <w:rsid w:val="006D10C5"/>
    <w:rsid w:val="007049CB"/>
    <w:rsid w:val="00705EE2"/>
    <w:rsid w:val="00733880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A0664"/>
    <w:rsid w:val="008B4286"/>
    <w:rsid w:val="008F726B"/>
    <w:rsid w:val="009074FB"/>
    <w:rsid w:val="00923953"/>
    <w:rsid w:val="00930213"/>
    <w:rsid w:val="00932CD4"/>
    <w:rsid w:val="00950DB4"/>
    <w:rsid w:val="009750B5"/>
    <w:rsid w:val="009968D5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519BA"/>
    <w:rsid w:val="00D77161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1703-12C1-4F20-95C6-6B4D3ADBB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4048</Words>
  <Characters>22266</Characters>
  <Application>Microsoft Office Word</Application>
  <DocSecurity>0</DocSecurity>
  <Lines>185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2</cp:revision>
  <dcterms:created xsi:type="dcterms:W3CDTF">2018-01-03T12:46:00Z</dcterms:created>
  <dcterms:modified xsi:type="dcterms:W3CDTF">2018-01-03T12:46:00Z</dcterms:modified>
</cp:coreProperties>
</file>