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26" w:rsidRPr="00FB1426" w:rsidRDefault="003936A5" w:rsidP="00FB1426">
      <w:pPr>
        <w:pStyle w:val="LO-Normal"/>
        <w:ind w:firstLine="708"/>
        <w:jc w:val="center"/>
        <w:rPr>
          <w:b/>
          <w:color w:val="FF0000"/>
          <w:u w:val="single"/>
        </w:rPr>
      </w:pPr>
      <w:r w:rsidRPr="004465D7">
        <w:rPr>
          <w:b/>
          <w:u w:val="single"/>
        </w:rPr>
        <w:t xml:space="preserve">Tableau résumé de notation </w:t>
      </w:r>
      <w:r w:rsidR="00FB1426" w:rsidRPr="004465D7">
        <w:rPr>
          <w:b/>
          <w:u w:val="single"/>
        </w:rPr>
        <w:t xml:space="preserve"> « </w:t>
      </w:r>
      <w:r w:rsidR="00FB1426" w:rsidRPr="004465D7">
        <w:rPr>
          <w:b/>
          <w:color w:val="FF0000"/>
          <w:u w:val="single"/>
        </w:rPr>
        <w:t>environnement </w:t>
      </w:r>
      <w:r w:rsidR="00FB1426" w:rsidRPr="004465D7">
        <w:rPr>
          <w:b/>
          <w:u w:val="single"/>
        </w:rPr>
        <w:t>» pour le cas</w:t>
      </w:r>
      <w:r w:rsidR="00FB1426" w:rsidRPr="00FB1426">
        <w:rPr>
          <w:b/>
          <w:color w:val="FF0000"/>
          <w:u w:val="single"/>
        </w:rPr>
        <w:t xml:space="preserve"> « </w:t>
      </w:r>
      <w:r w:rsidR="005A710A">
        <w:rPr>
          <w:b/>
          <w:color w:val="FF0000"/>
          <w:u w:val="single"/>
        </w:rPr>
        <w:t>capsis</w:t>
      </w:r>
      <w:r w:rsidR="00FB1426" w:rsidRPr="00FB1426">
        <w:rPr>
          <w:b/>
          <w:color w:val="FF0000"/>
          <w:u w:val="single"/>
        </w:rPr>
        <w:t xml:space="preserve"> » </w:t>
      </w:r>
      <w:r w:rsidR="00FB1426" w:rsidRPr="004465D7">
        <w:rPr>
          <w:b/>
          <w:u w:val="single"/>
        </w:rPr>
        <w:t>version 25 janvier 2018</w:t>
      </w:r>
    </w:p>
    <w:p w:rsidR="00FB1426" w:rsidRPr="004465D7" w:rsidRDefault="004465D7" w:rsidP="003936A5">
      <w:pPr>
        <w:pStyle w:val="LO-Normal"/>
        <w:jc w:val="both"/>
        <w:rPr>
          <w:b/>
          <w:color w:val="FF0000"/>
          <w:u w:val="single"/>
        </w:rPr>
      </w:pPr>
      <w:r w:rsidRPr="004465D7">
        <w:rPr>
          <w:b/>
          <w:color w:val="FF0000"/>
          <w:u w:val="single"/>
        </w:rPr>
        <w:t>Note</w:t>
      </w:r>
      <w:r w:rsidR="00322401">
        <w:rPr>
          <w:b/>
          <w:color w:val="FF0000"/>
          <w:u w:val="single"/>
        </w:rPr>
        <w:t xml:space="preserve"> Globale sur une échelle de 5= 3,5</w:t>
      </w:r>
    </w:p>
    <w:p w:rsidR="00C5462B" w:rsidRPr="00F951BF" w:rsidRDefault="00C5462B" w:rsidP="00C5462B">
      <w:pPr>
        <w:pStyle w:val="LO-Normal"/>
        <w:ind w:firstLine="708"/>
        <w:jc w:val="both"/>
        <w:rPr>
          <w:b/>
          <w:u w:val="single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998"/>
        <w:gridCol w:w="5442"/>
      </w:tblGrid>
      <w:tr w:rsidR="00C5462B" w:rsidTr="00C5462B">
        <w:trPr>
          <w:trHeight w:val="314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Sous-catégorie 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</w:p>
        </w:tc>
      </w:tr>
      <w:tr w:rsidR="00C5462B" w:rsidTr="00C5462B"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62B" w:rsidRPr="009B671C" w:rsidRDefault="00C5462B" w:rsidP="00FD1B48">
            <w:pPr>
              <w:spacing w:after="0" w:line="240" w:lineRule="auto"/>
              <w:rPr>
                <w:rFonts w:cs="Times New Roman"/>
                <w:b/>
                <w:bCs/>
                <w:color w:val="FF0000"/>
                <w:sz w:val="20"/>
                <w:szCs w:val="20"/>
              </w:rPr>
            </w:pPr>
            <w:r w:rsidRPr="009B671C">
              <w:rPr>
                <w:rFonts w:cs="Times New Roman"/>
                <w:b/>
                <w:bCs/>
                <w:color w:val="FF0000"/>
                <w:sz w:val="20"/>
                <w:szCs w:val="20"/>
              </w:rPr>
              <w:t>Contribution de la recherche à l’émergence d’une solution systémique durable</w:t>
            </w:r>
          </w:p>
          <w:p w:rsidR="00C5462B" w:rsidRPr="004538B5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B671C">
              <w:rPr>
                <w:rFonts w:cs="Times New Roman"/>
                <w:b/>
                <w:bCs/>
                <w:color w:val="FF0000"/>
                <w:sz w:val="20"/>
                <w:szCs w:val="20"/>
              </w:rPr>
              <w:t>3/4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rFonts w:eastAsia="Calibri" w:cs="Times New Roman"/>
                <w:sz w:val="20"/>
                <w:szCs w:val="20"/>
              </w:rPr>
              <w:t>La plateforme collaborative mise en place est un prérequis à de nombreux autres impacts, car elle met en système de nombreux modèles. La solution proposée est générique, ouverte aux apports et données d’autres régions ou écosystèmes</w:t>
            </w:r>
            <w:r>
              <w:rPr>
                <w:rFonts w:eastAsia="Calibri" w:cs="Times New Roman"/>
                <w:sz w:val="20"/>
                <w:szCs w:val="20"/>
              </w:rPr>
              <w:t xml:space="preserve"> : </w:t>
            </w:r>
          </w:p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D72E76">
              <w:rPr>
                <w:rFonts w:eastAsia="Calibri" w:cs="Times New Roman"/>
                <w:sz w:val="20"/>
                <w:szCs w:val="20"/>
              </w:rPr>
              <w:t>Pendant longtemps, les recommandations pratiques à destination des gestionnaires ont été élaborées sur la base du re</w:t>
            </w:r>
            <w:r>
              <w:rPr>
                <w:rFonts w:eastAsia="Calibri" w:cs="Times New Roman"/>
                <w:sz w:val="20"/>
                <w:szCs w:val="20"/>
              </w:rPr>
              <w:t xml:space="preserve">tour d’expérience issu d’essais ou </w:t>
            </w:r>
            <w:r w:rsidRPr="00D72E76">
              <w:rPr>
                <w:rFonts w:eastAsia="Calibri" w:cs="Times New Roman"/>
                <w:sz w:val="20"/>
                <w:szCs w:val="20"/>
              </w:rPr>
              <w:t>d’observations</w:t>
            </w:r>
            <w:r>
              <w:rPr>
                <w:rFonts w:eastAsia="Calibri" w:cs="Times New Roman"/>
                <w:sz w:val="20"/>
                <w:szCs w:val="20"/>
              </w:rPr>
              <w:t>. L</w:t>
            </w:r>
            <w:r w:rsidRPr="00D72E76">
              <w:rPr>
                <w:rFonts w:eastAsia="Calibri" w:cs="Times New Roman"/>
                <w:sz w:val="20"/>
                <w:szCs w:val="20"/>
              </w:rPr>
              <w:t xml:space="preserve">’utilisation de modèles mathématiques décrivant la dynamique de la croissance des arbres et des peuplements </w:t>
            </w:r>
            <w:r>
              <w:rPr>
                <w:rFonts w:eastAsia="Calibri" w:cs="Times New Roman"/>
                <w:sz w:val="20"/>
                <w:szCs w:val="20"/>
              </w:rPr>
              <w:t>permet de tester</w:t>
            </w:r>
            <w:r w:rsidRPr="00D72E76">
              <w:rPr>
                <w:rFonts w:eastAsia="Calibri" w:cs="Times New Roman"/>
                <w:sz w:val="20"/>
                <w:szCs w:val="20"/>
              </w:rPr>
              <w:t xml:space="preserve"> des stratégies alternatives </w:t>
            </w:r>
            <w:r>
              <w:rPr>
                <w:rFonts w:eastAsia="Calibri" w:cs="Times New Roman"/>
                <w:sz w:val="20"/>
                <w:szCs w:val="20"/>
              </w:rPr>
              <w:t xml:space="preserve">de développement durable face aux changements globaux </w:t>
            </w:r>
          </w:p>
        </w:tc>
      </w:tr>
      <w:tr w:rsidR="00C5462B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484D87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Diffusion internationale, possibilité de trajectoires socio-techniques différentes adaptées aux acteurs </w:t>
            </w:r>
          </w:p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Diffusion : 73% de la forêt publique en France, </w:t>
            </w:r>
            <w:r w:rsidRPr="0024771A">
              <w:rPr>
                <w:rFonts w:eastAsia="Calibri" w:cs="Times New Roman"/>
                <w:sz w:val="20"/>
                <w:szCs w:val="20"/>
              </w:rPr>
              <w:t>il a également trouvé des utilisations à l'étranger dans les secteurs public et privé (Canada, USA, Congo, Belgique, Portugal ou Chine)</w:t>
            </w:r>
          </w:p>
        </w:tc>
      </w:tr>
      <w:tr w:rsidR="00C5462B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Impacts sur la durabilité de l’évolution des systèmes socio-techniques de production ou de consommation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Plateforme collaborative. </w:t>
            </w: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  <w:r>
              <w:rPr>
                <w:rFonts w:eastAsia="Calibri" w:cs="Times New Roman"/>
                <w:sz w:val="20"/>
                <w:szCs w:val="20"/>
              </w:rPr>
              <w:t> : a permis un réduction des coupes au Québec, performance en France (ONF) inconnues</w:t>
            </w:r>
          </w:p>
        </w:tc>
      </w:tr>
      <w:tr w:rsidR="00C5462B" w:rsidTr="00C5462B"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D72E76">
              <w:rPr>
                <w:rFonts w:cs="Times New Roman"/>
                <w:b/>
                <w:color w:val="FF0000"/>
                <w:sz w:val="20"/>
                <w:szCs w:val="20"/>
              </w:rPr>
              <w:t>Biodiversité</w:t>
            </w:r>
          </w:p>
          <w:p w:rsidR="00C5462B" w:rsidRPr="00D72E76" w:rsidRDefault="00C5462B" w:rsidP="00FD1B48">
            <w:pPr>
              <w:spacing w:after="0" w:line="240" w:lineRule="auto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2/4</w:t>
            </w: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Enjeux croissants concernant la biodiversité ordinaire</w:t>
            </w:r>
          </w:p>
        </w:tc>
      </w:tr>
      <w:tr w:rsidR="00C5462B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B85C6A" w:rsidRDefault="00C5462B" w:rsidP="00FD1B4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plateforme intégre</w:t>
            </w:r>
            <w:r w:rsidRPr="00B85C6A">
              <w:rPr>
                <w:sz w:val="20"/>
                <w:szCs w:val="20"/>
              </w:rPr>
              <w:t xml:space="preserve"> une douzaine de modèles de croissance pour plus</w:t>
            </w:r>
            <w:r>
              <w:rPr>
                <w:sz w:val="20"/>
                <w:szCs w:val="20"/>
              </w:rPr>
              <w:t xml:space="preserve">ieurs espèces : Pin </w:t>
            </w:r>
            <w:r w:rsidRPr="00B85C6A">
              <w:rPr>
                <w:sz w:val="20"/>
                <w:szCs w:val="20"/>
              </w:rPr>
              <w:t>noir d'Autriche, Hêtre, Pin maritime, Épicéa commun, Pin laricio, Chêne sessile, Pin d'Alep, Douglas, Cèdre de</w:t>
            </w:r>
          </w:p>
          <w:p w:rsidR="00C5462B" w:rsidRDefault="00C5462B" w:rsidP="00FD1B48">
            <w:pPr>
              <w:spacing w:after="0" w:line="240" w:lineRule="auto"/>
              <w:contextualSpacing/>
            </w:pPr>
            <w:r w:rsidRPr="00B85C6A">
              <w:rPr>
                <w:sz w:val="20"/>
                <w:szCs w:val="20"/>
              </w:rPr>
              <w:t>l'Atlas</w:t>
            </w:r>
            <w:r>
              <w:rPr>
                <w:sz w:val="20"/>
                <w:szCs w:val="20"/>
              </w:rPr>
              <w:t>…</w:t>
            </w:r>
            <w:r w:rsidRPr="00B85C6A">
              <w:rPr>
                <w:sz w:val="20"/>
                <w:szCs w:val="20"/>
              </w:rPr>
              <w:t>.</w:t>
            </w:r>
            <w:r>
              <w:t xml:space="preserve"> </w:t>
            </w:r>
          </w:p>
          <w:p w:rsidR="00C5462B" w:rsidRPr="00B85C6A" w:rsidRDefault="00C5462B" w:rsidP="00FD1B4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>Elle permet d’offrir des modèles de gestion forestière prenant mieux en compte la biodiversité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Capsis </w:t>
            </w:r>
            <w:r w:rsidRPr="00B85C6A">
              <w:rPr>
                <w:sz w:val="20"/>
                <w:szCs w:val="20"/>
              </w:rPr>
              <w:t xml:space="preserve"> permet de</w:t>
            </w:r>
            <w:r>
              <w:rPr>
                <w:sz w:val="20"/>
                <w:szCs w:val="20"/>
              </w:rPr>
              <w:t xml:space="preserve"> </w:t>
            </w:r>
            <w:r w:rsidRPr="00B85C6A">
              <w:rPr>
                <w:sz w:val="20"/>
                <w:szCs w:val="20"/>
              </w:rPr>
              <w:t>simuler la dynamique de croissance de</w:t>
            </w:r>
            <w:r>
              <w:rPr>
                <w:sz w:val="20"/>
                <w:szCs w:val="20"/>
              </w:rPr>
              <w:t xml:space="preserve"> </w:t>
            </w:r>
            <w:r w:rsidRPr="00B85C6A">
              <w:rPr>
                <w:sz w:val="20"/>
                <w:szCs w:val="20"/>
              </w:rPr>
              <w:t>divers types de peuplements forestiers</w:t>
            </w:r>
            <w:r>
              <w:rPr>
                <w:sz w:val="20"/>
                <w:szCs w:val="20"/>
              </w:rPr>
              <w:t xml:space="preserve">, et les interventions (sylviculture),  le gestionnaire </w:t>
            </w:r>
            <w:r w:rsidRPr="00B85C6A">
              <w:rPr>
                <w:sz w:val="20"/>
                <w:szCs w:val="20"/>
              </w:rPr>
              <w:t>peut ainsi réaliser des simulations qui</w:t>
            </w:r>
          </w:p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85C6A">
              <w:rPr>
                <w:sz w:val="20"/>
                <w:szCs w:val="20"/>
              </w:rPr>
              <w:t>l'aideront dans la prise de décisions</w:t>
            </w:r>
          </w:p>
        </w:tc>
      </w:tr>
      <w:tr w:rsidR="00C5462B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6D10C5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 xml:space="preserve">chelles </w:t>
            </w:r>
            <w:r>
              <w:rPr>
                <w:rFonts w:cs="Times New Roman"/>
                <w:sz w:val="20"/>
                <w:szCs w:val="20"/>
              </w:rPr>
              <w:t xml:space="preserve">de diffusion cohérente, pas d’externalités générées sur d’autres territoire. Toutefois en France, pas d’information concernant la forêt privée. </w:t>
            </w:r>
            <w:r w:rsidRPr="0019612E">
              <w:rPr>
                <w:rFonts w:cs="Times New Roman"/>
                <w:sz w:val="20"/>
                <w:szCs w:val="20"/>
              </w:rPr>
              <w:t>Elle intègre partiellement (car de façon non systématique) les enjeux de préservation de la biodiversité sur les espaces où les outils d’aide à la gestion forestière sont déployés</w:t>
            </w:r>
          </w:p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C5462B" w:rsidTr="00C5462B">
        <w:tc>
          <w:tcPr>
            <w:tcW w:w="12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Réduction de surcoupe donc maintien de la biodiversité fonctionnelle (Québec).</w:t>
            </w:r>
          </w:p>
        </w:tc>
      </w:tr>
      <w:tr w:rsidR="00C5462B" w:rsidTr="00C5462B">
        <w:tc>
          <w:tcPr>
            <w:tcW w:w="12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Changement climatique</w:t>
            </w:r>
          </w:p>
          <w:p w:rsidR="00C5462B" w:rsidRPr="00932EFB" w:rsidRDefault="00C5462B" w:rsidP="00FD1B48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2/4</w:t>
            </w: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Pluricité d’enjeux intégrés : </w:t>
            </w:r>
            <w:r w:rsidRPr="00195F9C">
              <w:rPr>
                <w:sz w:val="20"/>
                <w:szCs w:val="20"/>
              </w:rPr>
              <w:t xml:space="preserve">Les forêts </w:t>
            </w:r>
            <w:r>
              <w:rPr>
                <w:sz w:val="20"/>
                <w:szCs w:val="20"/>
              </w:rPr>
              <w:t>subisse</w:t>
            </w:r>
            <w:r w:rsidRPr="00195F9C">
              <w:rPr>
                <w:sz w:val="20"/>
                <w:szCs w:val="20"/>
              </w:rPr>
              <w:t>nt les conséqu</w:t>
            </w:r>
            <w:r>
              <w:rPr>
                <w:sz w:val="20"/>
                <w:szCs w:val="20"/>
              </w:rPr>
              <w:t>ences du changement climatique, gros enjeu pour la filière, complexité de l’analyse, importance de l’anticipation (enjeux d’adaptation)</w:t>
            </w:r>
            <w:r>
              <w:t xml:space="preserve"> </w:t>
            </w:r>
            <w:r w:rsidRPr="0019612E">
              <w:rPr>
                <w:sz w:val="20"/>
                <w:szCs w:val="20"/>
              </w:rPr>
              <w:t>Enjeux importants des forêts pour le changement climatique (réduction des émissions, adaptation</w:t>
            </w:r>
            <w:r>
              <w:rPr>
                <w:sz w:val="20"/>
                <w:szCs w:val="20"/>
              </w:rPr>
              <w:t>)</w:t>
            </w:r>
          </w:p>
          <w:p w:rsidR="00C5462B" w:rsidRPr="00A66AF4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C5462B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 xml:space="preserve">les solutions apportées sont de nature à préserver la contribution de la forêt et de son rôle sur le changement climatique </w:t>
            </w:r>
            <w:r w:rsidRPr="00B72E1B">
              <w:rPr>
                <w:sz w:val="20"/>
                <w:szCs w:val="20"/>
              </w:rPr>
              <w:t>Les simulations permettent d'évaluer les impacts à moyen et à long terme de diverses options sylvicoles (y compris des stratégies d'adaptation dans le contexte du changement climatique), dont certaines peuvent alors être choisies pour de nouvelles expérimentations.</w:t>
            </w:r>
            <w:r>
              <w:rPr>
                <w:sz w:val="20"/>
                <w:szCs w:val="20"/>
              </w:rPr>
              <w:t>.</w:t>
            </w:r>
          </w:p>
        </w:tc>
      </w:tr>
      <w:tr w:rsidR="00C5462B" w:rsidRPr="00831239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Gestion durable de la forêt =&gt;</w:t>
            </w:r>
            <w:r>
              <w:t xml:space="preserve"> </w:t>
            </w:r>
            <w:r w:rsidRPr="0019612E">
              <w:rPr>
                <w:sz w:val="20"/>
                <w:szCs w:val="20"/>
              </w:rPr>
              <w:t>sans doute dans le sens de la préservation des capacités de stockage de carbone</w:t>
            </w:r>
          </w:p>
        </w:tc>
      </w:tr>
      <w:tr w:rsidR="00C5462B" w:rsidRPr="00831239" w:rsidTr="00C5462B"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Pollutions/destructions de milieux</w:t>
            </w:r>
          </w:p>
          <w:p w:rsidR="00C5462B" w:rsidRPr="00932EFB" w:rsidRDefault="00C5462B" w:rsidP="00FD1B48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3/4</w:t>
            </w: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>les enjeux de la destruction du milieu forestier son</w:t>
            </w:r>
            <w:r>
              <w:rPr>
                <w:sz w:val="20"/>
                <w:szCs w:val="20"/>
              </w:rPr>
              <w:t>t préoccupants, notamment au Qué</w:t>
            </w:r>
            <w:r w:rsidRPr="0019612E">
              <w:rPr>
                <w:sz w:val="20"/>
                <w:szCs w:val="20"/>
              </w:rPr>
              <w:t>bec</w:t>
            </w:r>
          </w:p>
        </w:tc>
      </w:tr>
      <w:tr w:rsidR="00C5462B" w:rsidRPr="00831239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rFonts w:eastAsia="Calibri" w:cs="Times New Roman"/>
                <w:sz w:val="20"/>
                <w:szCs w:val="20"/>
              </w:rPr>
              <w:t>La solution vise à réduire la destruction des milieux</w:t>
            </w:r>
          </w:p>
        </w:tc>
      </w:tr>
      <w:tr w:rsidR="00C5462B" w:rsidRPr="00831239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19612E">
              <w:rPr>
                <w:rFonts w:eastAsia="Calibri" w:cs="Times New Roman"/>
                <w:sz w:val="20"/>
                <w:szCs w:val="20"/>
              </w:rPr>
              <w:t>La solution a été significativement déployée à une échelle pertinente pour réduire la destruction des milieux (notamment en ce qui concerne les forêts publiques)</w:t>
            </w:r>
          </w:p>
        </w:tc>
      </w:tr>
      <w:tr w:rsidR="00C5462B" w:rsidRPr="00831239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19612E">
              <w:rPr>
                <w:sz w:val="20"/>
                <w:szCs w:val="20"/>
              </w:rPr>
              <w:t>diminution de la destruction des milieux, notamment au Québec</w:t>
            </w:r>
          </w:p>
        </w:tc>
      </w:tr>
      <w:tr w:rsidR="00C5462B" w:rsidRPr="00831239" w:rsidTr="00C5462B"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Consommation de ressources</w:t>
            </w:r>
          </w:p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3/4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Pluricité d’enjeux intégrés :</w:t>
            </w:r>
            <w:r w:rsidRPr="00195F9C">
              <w:rPr>
                <w:sz w:val="20"/>
                <w:szCs w:val="20"/>
              </w:rPr>
              <w:t xml:space="preserve"> accroissement de la demande en bois et en produits issus du bois </w:t>
            </w:r>
          </w:p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Surexploitation de la forêt</w:t>
            </w:r>
          </w:p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C5462B" w:rsidRPr="00831239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Correction d’outils de gestion non durable. </w:t>
            </w:r>
            <w:r w:rsidRPr="00B72E1B">
              <w:rPr>
                <w:rFonts w:eastAsia="Calibri" w:cs="Times New Roman"/>
                <w:sz w:val="20"/>
                <w:szCs w:val="20"/>
              </w:rPr>
              <w:t>Comparaison de</w:t>
            </w:r>
            <w:r>
              <w:rPr>
                <w:rFonts w:eastAsia="Calibri" w:cs="Times New Roman"/>
                <w:sz w:val="20"/>
                <w:szCs w:val="20"/>
              </w:rPr>
              <w:t>s performances environnementales : par exemple de 12</w:t>
            </w:r>
            <w:r w:rsidRPr="00B72E1B">
              <w:rPr>
                <w:rFonts w:eastAsia="Calibri" w:cs="Times New Roman"/>
                <w:sz w:val="20"/>
                <w:szCs w:val="20"/>
              </w:rPr>
              <w:t xml:space="preserve"> produits issus de l’industrie du sciage du pin maritime</w:t>
            </w:r>
          </w:p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72E1B">
              <w:rPr>
                <w:rFonts w:eastAsia="Calibri" w:cs="Times New Roman"/>
                <w:sz w:val="20"/>
                <w:szCs w:val="20"/>
              </w:rPr>
              <w:t xml:space="preserve">  </w:t>
            </w:r>
          </w:p>
        </w:tc>
      </w:tr>
      <w:tr w:rsidR="00C5462B" w:rsidRPr="00831239" w:rsidTr="00C5462B">
        <w:tc>
          <w:tcPr>
            <w:tcW w:w="1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831239" w:rsidRDefault="00C5462B" w:rsidP="00FD1B48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évité la surexploitation de 45 millions d’hectares de forêt au Quebec, en calculant des coupes permettant la régénération et l’exploitation durable de la forêt</w:t>
            </w:r>
          </w:p>
        </w:tc>
      </w:tr>
      <w:tr w:rsidR="00C5462B" w:rsidTr="00C5462B">
        <w:tc>
          <w:tcPr>
            <w:tcW w:w="12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B" w:rsidRDefault="00C5462B" w:rsidP="00FD1B4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Pr="001E625B" w:rsidRDefault="00C5462B" w:rsidP="00FD1B4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:rsidR="00C5462B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:rsidR="00C5462B" w:rsidRPr="00A66AF4" w:rsidRDefault="00C5462B" w:rsidP="00FD1B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Enrayage voire réaugmentation du stock de ressources naturelles</w:t>
            </w:r>
          </w:p>
        </w:tc>
      </w:tr>
    </w:tbl>
    <w:p w:rsidR="00C5462B" w:rsidRPr="00CE3213" w:rsidRDefault="00C5462B" w:rsidP="00C5462B">
      <w:pPr>
        <w:pStyle w:val="LO-Normal"/>
        <w:jc w:val="both"/>
      </w:pPr>
    </w:p>
    <w:p w:rsidR="00D50D70" w:rsidRDefault="00D50D70"/>
    <w:sectPr w:rsidR="00D50D70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426" w:rsidRDefault="00FB1426" w:rsidP="00FB1426">
      <w:pPr>
        <w:spacing w:after="0" w:line="240" w:lineRule="auto"/>
      </w:pPr>
      <w:r>
        <w:separator/>
      </w:r>
    </w:p>
  </w:endnote>
  <w:endnote w:type="continuationSeparator" w:id="0">
    <w:p w:rsidR="00FB1426" w:rsidRDefault="00FB1426" w:rsidP="00FB1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426" w:rsidRDefault="00FB1426" w:rsidP="00FB1426">
      <w:pPr>
        <w:spacing w:after="0" w:line="240" w:lineRule="auto"/>
      </w:pPr>
      <w:r>
        <w:separator/>
      </w:r>
    </w:p>
  </w:footnote>
  <w:footnote w:type="continuationSeparator" w:id="0">
    <w:p w:rsidR="00FB1426" w:rsidRDefault="00FB1426" w:rsidP="00FB1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26"/>
    <w:rsid w:val="002D5FD1"/>
    <w:rsid w:val="00322401"/>
    <w:rsid w:val="003936A5"/>
    <w:rsid w:val="004465D7"/>
    <w:rsid w:val="00450779"/>
    <w:rsid w:val="005A710A"/>
    <w:rsid w:val="00695A8E"/>
    <w:rsid w:val="009A4245"/>
    <w:rsid w:val="00B96CE9"/>
    <w:rsid w:val="00C5462B"/>
    <w:rsid w:val="00CE3064"/>
    <w:rsid w:val="00D50D70"/>
    <w:rsid w:val="00EE6A45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88B4"/>
  <w15:chartTrackingRefBased/>
  <w15:docId w15:val="{26998744-06A2-4EE7-9E94-6A957894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426"/>
    <w:pPr>
      <w:spacing w:after="200" w:line="276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1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1426"/>
  </w:style>
  <w:style w:type="paragraph" w:styleId="Pieddepage">
    <w:name w:val="footer"/>
    <w:basedOn w:val="Normal"/>
    <w:link w:val="PieddepageCar"/>
    <w:uiPriority w:val="99"/>
    <w:unhideWhenUsed/>
    <w:rsid w:val="00FB1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1426"/>
  </w:style>
  <w:style w:type="paragraph" w:customStyle="1" w:styleId="LO-Normal">
    <w:name w:val="LO-Normal"/>
    <w:rsid w:val="00FB142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56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LO-Normal"/>
    <w:qFormat/>
    <w:rsid w:val="00FB1426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E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A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815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Colinet</dc:creator>
  <cp:keywords/>
  <dc:description/>
  <cp:lastModifiedBy>Laurence Colinet</cp:lastModifiedBy>
  <cp:revision>6</cp:revision>
  <dcterms:created xsi:type="dcterms:W3CDTF">2018-01-25T17:03:00Z</dcterms:created>
  <dcterms:modified xsi:type="dcterms:W3CDTF">2018-01-25T18:16:00Z</dcterms:modified>
</cp:coreProperties>
</file>