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96" w:rsidRPr="00E156A2" w:rsidRDefault="00E84C96" w:rsidP="00E156A2">
      <w:pPr>
        <w:pStyle w:val="Titre1"/>
        <w:jc w:val="center"/>
        <w:rPr>
          <w:color w:val="FF0000"/>
        </w:rPr>
      </w:pPr>
      <w:r w:rsidRPr="00E156A2">
        <w:rPr>
          <w:color w:val="FF0000"/>
        </w:rPr>
        <w:t>Catégorie : humain</w:t>
      </w:r>
    </w:p>
    <w:p w:rsidR="00E156A2" w:rsidRDefault="00E156A2" w:rsidP="00E84C96"/>
    <w:p w:rsidR="009437FD" w:rsidRDefault="009437FD" w:rsidP="009437FD">
      <w:r>
        <w:t xml:space="preserve">La notion de capital humain renvoie aux compétences des individus et à leur capacité à améliorer leur situation. Le lien avec </w:t>
      </w:r>
      <w:r w:rsidR="00AA0EE2">
        <w:t>la formation</w:t>
      </w:r>
      <w:r>
        <w:t xml:space="preserve"> </w:t>
      </w:r>
      <w:r w:rsidR="00AA0EE2">
        <w:t xml:space="preserve">ou l’emploi </w:t>
      </w:r>
      <w:r>
        <w:t>est essentiel, mais aussi certains traits liés à l’estime de soi comme par exemple l’image du métier que l’on exerce auprès de la société. L’augmentation du capital humain est aussi liée à l’appropriation d’informations essentielles, comme une meilleure connaissance et utilisation des normes nutritionnelles.</w:t>
      </w:r>
    </w:p>
    <w:p w:rsidR="00E84C96" w:rsidRPr="00E84C96" w:rsidRDefault="00E84C96" w:rsidP="00E84C96">
      <w:r w:rsidRPr="00E84C96">
        <w:t>On propose les sous-catégories suivantes :</w:t>
      </w:r>
    </w:p>
    <w:p w:rsidR="00E84C96" w:rsidRPr="00E84C96" w:rsidRDefault="00E156A2" w:rsidP="00E84C96">
      <w:pPr>
        <w:numPr>
          <w:ilvl w:val="0"/>
          <w:numId w:val="1"/>
        </w:numPr>
      </w:pPr>
      <w:r>
        <w:t>E</w:t>
      </w:r>
      <w:r w:rsidR="00E84C96" w:rsidRPr="00E84C96">
        <w:t>ducation</w:t>
      </w:r>
      <w:r w:rsidR="00D04100">
        <w:t>, formation qualifiantes</w:t>
      </w:r>
      <w:r w:rsidR="00E84C96" w:rsidRPr="00E84C96">
        <w:t xml:space="preserve"> et connaissances essentielles à la qualité de la vie</w:t>
      </w:r>
    </w:p>
    <w:p w:rsidR="00AA0EE2" w:rsidRDefault="00AA0EE2" w:rsidP="00E84C96">
      <w:pPr>
        <w:numPr>
          <w:ilvl w:val="0"/>
          <w:numId w:val="1"/>
        </w:numPr>
      </w:pPr>
      <w:r>
        <w:t>Emploi</w:t>
      </w:r>
    </w:p>
    <w:p w:rsidR="00E84C96" w:rsidRPr="00E84C96" w:rsidRDefault="00E156A2" w:rsidP="00E84C96">
      <w:pPr>
        <w:numPr>
          <w:ilvl w:val="0"/>
          <w:numId w:val="1"/>
        </w:numPr>
      </w:pPr>
      <w:r>
        <w:t>E</w:t>
      </w:r>
      <w:r w:rsidR="00E84C96" w:rsidRPr="00E84C96">
        <w:t>stime de soi et image du métier exercé</w:t>
      </w:r>
    </w:p>
    <w:p w:rsidR="00F02D83" w:rsidRDefault="00F02D83">
      <w:r>
        <w:br w:type="page"/>
      </w:r>
    </w:p>
    <w:p w:rsidR="00F02D83" w:rsidRDefault="00F02D83" w:rsidP="00F02D83">
      <w:pPr>
        <w:ind w:left="720"/>
      </w:pPr>
    </w:p>
    <w:p w:rsidR="00915271" w:rsidRDefault="004B671C" w:rsidP="00915271">
      <w:pPr>
        <w:pStyle w:val="Titre1"/>
      </w:pPr>
      <w:r>
        <w:t xml:space="preserve">Sous-catégorie : </w:t>
      </w:r>
      <w:r w:rsidR="00915271">
        <w:t>Education, formation qualifiante et connaissance</w:t>
      </w:r>
      <w:r w:rsidR="00AA0EE2">
        <w:t>s</w:t>
      </w:r>
      <w:r w:rsidR="00915271">
        <w:t xml:space="preserve"> essentielles </w:t>
      </w:r>
    </w:p>
    <w:p w:rsidR="00915271" w:rsidRPr="0026591B" w:rsidRDefault="00915271" w:rsidP="00915271"/>
    <w:tbl>
      <w:tblPr>
        <w:tblStyle w:val="Grilledutableau"/>
        <w:tblW w:w="5000" w:type="pct"/>
        <w:tblLook w:val="04A0" w:firstRow="1" w:lastRow="0" w:firstColumn="1" w:lastColumn="0" w:noHBand="0" w:noVBand="1"/>
      </w:tblPr>
      <w:tblGrid>
        <w:gridCol w:w="1975"/>
        <w:gridCol w:w="2928"/>
        <w:gridCol w:w="1148"/>
        <w:gridCol w:w="2592"/>
        <w:gridCol w:w="2124"/>
        <w:gridCol w:w="1702"/>
        <w:gridCol w:w="1525"/>
      </w:tblGrid>
      <w:tr w:rsidR="00F10802" w:rsidRPr="00E84C96" w:rsidTr="00F10802">
        <w:tc>
          <w:tcPr>
            <w:tcW w:w="706" w:type="pct"/>
          </w:tcPr>
          <w:p w:rsidR="00F10802" w:rsidRPr="00E84C96" w:rsidRDefault="00F10802" w:rsidP="00B04F81">
            <w:pPr>
              <w:spacing w:after="160" w:line="259" w:lineRule="auto"/>
            </w:pPr>
            <w:r w:rsidRPr="00E84C96">
              <w:t>Etude de cas</w:t>
            </w:r>
          </w:p>
        </w:tc>
        <w:tc>
          <w:tcPr>
            <w:tcW w:w="1046" w:type="pct"/>
          </w:tcPr>
          <w:p w:rsidR="00F10802" w:rsidRPr="00E84C96" w:rsidRDefault="00F10802" w:rsidP="00B04F81">
            <w:pPr>
              <w:spacing w:after="160" w:line="259" w:lineRule="auto"/>
            </w:pPr>
            <w:r w:rsidRPr="00E84C96">
              <w:t>descripteurs</w:t>
            </w:r>
          </w:p>
        </w:tc>
        <w:tc>
          <w:tcPr>
            <w:tcW w:w="410" w:type="pct"/>
          </w:tcPr>
          <w:p w:rsidR="00F10802" w:rsidRPr="00E84C96" w:rsidRDefault="00F10802" w:rsidP="00B04F81">
            <w:r>
              <w:t>Note proposée</w:t>
            </w:r>
          </w:p>
        </w:tc>
        <w:tc>
          <w:tcPr>
            <w:tcW w:w="926" w:type="pct"/>
          </w:tcPr>
          <w:p w:rsidR="00F10802" w:rsidRDefault="00F10802" w:rsidP="00B04F81">
            <w:r>
              <w:t>Pourquoi cette note ?</w:t>
            </w:r>
          </w:p>
        </w:tc>
        <w:tc>
          <w:tcPr>
            <w:tcW w:w="759" w:type="pct"/>
          </w:tcPr>
          <w:p w:rsidR="00F10802" w:rsidRDefault="00F10802" w:rsidP="00B04F81">
            <w:r w:rsidRPr="004E2002">
              <w:t>quelle information vous aurait permis de mieux noter ?</w:t>
            </w:r>
          </w:p>
        </w:tc>
        <w:tc>
          <w:tcPr>
            <w:tcW w:w="608" w:type="pct"/>
          </w:tcPr>
          <w:p w:rsidR="00F10802" w:rsidRDefault="00F10802" w:rsidP="00B04F81">
            <w:r>
              <w:t>qu’est ce qui aurait justifié une note supérieure ?</w:t>
            </w:r>
          </w:p>
        </w:tc>
        <w:tc>
          <w:tcPr>
            <w:tcW w:w="545" w:type="pct"/>
          </w:tcPr>
          <w:p w:rsidR="00F10802" w:rsidRDefault="00F10802" w:rsidP="00B04F81">
            <w:r w:rsidRPr="0026591B">
              <w:t xml:space="preserve">qu’est ce qui aurait justifié une note </w:t>
            </w:r>
            <w:r>
              <w:t>inférieure ?</w:t>
            </w:r>
          </w:p>
        </w:tc>
      </w:tr>
      <w:tr w:rsidR="00F10802" w:rsidRPr="00E84C96" w:rsidTr="00F10802">
        <w:tc>
          <w:tcPr>
            <w:tcW w:w="706" w:type="pct"/>
          </w:tcPr>
          <w:p w:rsidR="00F10802" w:rsidRPr="00E84C96" w:rsidRDefault="00F10802" w:rsidP="00B04F81">
            <w:pPr>
              <w:spacing w:after="160" w:line="259" w:lineRule="auto"/>
            </w:pPr>
            <w:r w:rsidRPr="00E84C96">
              <w:t xml:space="preserve">Oméga3 </w:t>
            </w:r>
          </w:p>
        </w:tc>
        <w:tc>
          <w:tcPr>
            <w:tcW w:w="1046" w:type="pct"/>
          </w:tcPr>
          <w:p w:rsidR="00F10802" w:rsidRPr="00E84C96" w:rsidRDefault="00F10802" w:rsidP="00B04F81">
            <w:pPr>
              <w:spacing w:after="160" w:line="259" w:lineRule="auto"/>
            </w:pPr>
            <w:r w:rsidRPr="00E84C96">
              <w:t>La diffusion des résultats de recherche sur le rôle des Oméga 3 dans la prévention de pathologies a contribué à la sensibilisation et à l’éducation des consommateurs</w:t>
            </w:r>
          </w:p>
        </w:tc>
        <w:tc>
          <w:tcPr>
            <w:tcW w:w="410" w:type="pct"/>
          </w:tcPr>
          <w:p w:rsidR="00F10802" w:rsidRPr="00E84C96" w:rsidRDefault="00F10802" w:rsidP="00B04F81"/>
        </w:tc>
        <w:tc>
          <w:tcPr>
            <w:tcW w:w="926" w:type="pct"/>
          </w:tcPr>
          <w:p w:rsidR="00F10802" w:rsidRPr="00E84C96" w:rsidRDefault="00F10802" w:rsidP="00B04F81"/>
        </w:tc>
        <w:tc>
          <w:tcPr>
            <w:tcW w:w="759" w:type="pct"/>
          </w:tcPr>
          <w:p w:rsidR="00F10802" w:rsidRDefault="00F10802" w:rsidP="00B04F81"/>
        </w:tc>
        <w:tc>
          <w:tcPr>
            <w:tcW w:w="608" w:type="pct"/>
          </w:tcPr>
          <w:p w:rsidR="00F10802" w:rsidRPr="00E84C96" w:rsidRDefault="00F10802" w:rsidP="00B04F81"/>
        </w:tc>
        <w:tc>
          <w:tcPr>
            <w:tcW w:w="545" w:type="pct"/>
          </w:tcPr>
          <w:p w:rsidR="00F10802" w:rsidRPr="00E84C96" w:rsidRDefault="00F10802" w:rsidP="00B04F81"/>
        </w:tc>
      </w:tr>
      <w:tr w:rsidR="00056A3C" w:rsidRPr="00E84C96" w:rsidTr="00F10802">
        <w:tc>
          <w:tcPr>
            <w:tcW w:w="706" w:type="pct"/>
          </w:tcPr>
          <w:p w:rsidR="00056A3C" w:rsidRPr="00E84C96" w:rsidRDefault="00056A3C" w:rsidP="00B04F81">
            <w:proofErr w:type="spellStart"/>
            <w:r>
              <w:t>Nutriscore</w:t>
            </w:r>
            <w:proofErr w:type="spellEnd"/>
          </w:p>
        </w:tc>
        <w:tc>
          <w:tcPr>
            <w:tcW w:w="1046" w:type="pct"/>
          </w:tcPr>
          <w:p w:rsidR="00056A3C" w:rsidRDefault="00056A3C" w:rsidP="00056A3C">
            <w:proofErr w:type="spellStart"/>
            <w:r>
              <w:t>Nutri</w:t>
            </w:r>
            <w:proofErr w:type="spellEnd"/>
            <w:r>
              <w:t xml:space="preserve">-Score rend plus accessible l’information concernant la qualité nutritionnelle des aliments. Selon une enquête Nielsen, 14% des consommateurs font attention au </w:t>
            </w:r>
            <w:proofErr w:type="spellStart"/>
            <w:r>
              <w:t>Nutri</w:t>
            </w:r>
            <w:proofErr w:type="spellEnd"/>
            <w:r>
              <w:t>-Score au moment de leurs achats.</w:t>
            </w:r>
          </w:p>
          <w:p w:rsidR="00056A3C" w:rsidRPr="00E84C96" w:rsidRDefault="00056A3C" w:rsidP="00FA2620">
            <w:r>
              <w:t xml:space="preserve"> Les applications disponibles sur les téléphones mobiles de type </w:t>
            </w:r>
            <w:proofErr w:type="spellStart"/>
            <w:r>
              <w:t>Yuka</w:t>
            </w:r>
            <w:proofErr w:type="spellEnd"/>
            <w:r>
              <w:t xml:space="preserve"> (avec plus de 8 millions de </w:t>
            </w:r>
            <w:proofErr w:type="gramStart"/>
            <w:r>
              <w:t>téléchargements)  utilisent</w:t>
            </w:r>
            <w:proofErr w:type="gramEnd"/>
            <w:r>
              <w:t xml:space="preserve"> </w:t>
            </w:r>
            <w:proofErr w:type="spellStart"/>
            <w:r>
              <w:t>Nutri</w:t>
            </w:r>
            <w:proofErr w:type="spellEnd"/>
            <w:r>
              <w:t>-Score dans leur notation des produits alimentaires</w:t>
            </w:r>
            <w:r w:rsidR="00A242FF">
              <w:t xml:space="preserve">. </w:t>
            </w:r>
            <w:r>
              <w:t xml:space="preserve"> Ces applications permettent donc aux </w:t>
            </w:r>
            <w:r>
              <w:lastRenderedPageBreak/>
              <w:t xml:space="preserve">consommateurs d’avoir accès à l’information nutritionnelle, même en l’absence d’un engagement de la part des industriels. </w:t>
            </w:r>
          </w:p>
        </w:tc>
        <w:tc>
          <w:tcPr>
            <w:tcW w:w="410" w:type="pct"/>
          </w:tcPr>
          <w:p w:rsidR="00056A3C" w:rsidRPr="00E84C96" w:rsidRDefault="00056A3C" w:rsidP="00B04F81"/>
        </w:tc>
        <w:tc>
          <w:tcPr>
            <w:tcW w:w="926" w:type="pct"/>
          </w:tcPr>
          <w:p w:rsidR="00056A3C" w:rsidRPr="00E84C96" w:rsidRDefault="00056A3C" w:rsidP="00B04F81"/>
        </w:tc>
        <w:tc>
          <w:tcPr>
            <w:tcW w:w="759" w:type="pct"/>
          </w:tcPr>
          <w:p w:rsidR="00056A3C" w:rsidRDefault="00056A3C" w:rsidP="00B04F81"/>
        </w:tc>
        <w:tc>
          <w:tcPr>
            <w:tcW w:w="608" w:type="pct"/>
          </w:tcPr>
          <w:p w:rsidR="00056A3C" w:rsidRPr="00E84C96" w:rsidRDefault="00056A3C" w:rsidP="00B04F81"/>
        </w:tc>
        <w:tc>
          <w:tcPr>
            <w:tcW w:w="545" w:type="pct"/>
          </w:tcPr>
          <w:p w:rsidR="00056A3C" w:rsidRPr="00E84C96" w:rsidRDefault="00056A3C" w:rsidP="00B04F81"/>
        </w:tc>
      </w:tr>
      <w:tr w:rsidR="00F10802" w:rsidRPr="00E84C96" w:rsidTr="00F10802">
        <w:tc>
          <w:tcPr>
            <w:tcW w:w="706" w:type="pct"/>
          </w:tcPr>
          <w:p w:rsidR="00F10802" w:rsidRPr="00E84C96" w:rsidRDefault="00F10802" w:rsidP="00B04F81">
            <w:pPr>
              <w:spacing w:after="160" w:line="259" w:lineRule="auto"/>
            </w:pPr>
            <w:r w:rsidRPr="00E84C96">
              <w:t>Ici C local</w:t>
            </w:r>
          </w:p>
        </w:tc>
        <w:tc>
          <w:tcPr>
            <w:tcW w:w="1046" w:type="pct"/>
          </w:tcPr>
          <w:p w:rsidR="00F10802" w:rsidRPr="00E84C96" w:rsidRDefault="00FA2620" w:rsidP="004C39BD">
            <w:pPr>
              <w:spacing w:after="160" w:line="259" w:lineRule="auto"/>
            </w:pPr>
            <w:proofErr w:type="gramStart"/>
            <w:r w:rsidRPr="00FA2620">
              <w:t>l’émergence</w:t>
            </w:r>
            <w:proofErr w:type="gramEnd"/>
            <w:r w:rsidRPr="00FA2620">
              <w:t xml:space="preserve"> de nouveaux questionnements chez les consommateurs, favorisés par la lecture des étiquettes, entraînant chez certains, </w:t>
            </w:r>
            <w:r w:rsidR="004C39BD">
              <w:t>au-delà des cercles militants</w:t>
            </w:r>
            <w:bookmarkStart w:id="0" w:name="_GoBack"/>
            <w:bookmarkEnd w:id="0"/>
            <w:r w:rsidRPr="00FA2620">
              <w:t>, l’évolution de leurs pratiques vers une consommation plus importante de produits de l’agriculture locale durable. Un lieu de vente privilégiant circuits courts et agriculture durable, mais autorisant aussi des produits essentiels issus des filières longues, donne aux consommateurs la possibilité d’apprendre progressivement à consommer différemment</w:t>
            </w:r>
          </w:p>
        </w:tc>
        <w:tc>
          <w:tcPr>
            <w:tcW w:w="410" w:type="pct"/>
          </w:tcPr>
          <w:p w:rsidR="00F10802" w:rsidRPr="00E84C96" w:rsidRDefault="00F10802" w:rsidP="00B04F81"/>
        </w:tc>
        <w:tc>
          <w:tcPr>
            <w:tcW w:w="926" w:type="pct"/>
          </w:tcPr>
          <w:p w:rsidR="00F10802" w:rsidRPr="00E84C96" w:rsidRDefault="00F10802" w:rsidP="00B04F81"/>
        </w:tc>
        <w:tc>
          <w:tcPr>
            <w:tcW w:w="759" w:type="pct"/>
          </w:tcPr>
          <w:p w:rsidR="00F10802" w:rsidRDefault="00F10802" w:rsidP="00B04F81"/>
        </w:tc>
        <w:tc>
          <w:tcPr>
            <w:tcW w:w="608" w:type="pct"/>
          </w:tcPr>
          <w:p w:rsidR="00F10802" w:rsidRPr="00E84C96" w:rsidRDefault="00F10802" w:rsidP="00B04F81"/>
        </w:tc>
        <w:tc>
          <w:tcPr>
            <w:tcW w:w="545" w:type="pct"/>
          </w:tcPr>
          <w:p w:rsidR="00F10802" w:rsidRPr="00E84C96" w:rsidRDefault="00F10802" w:rsidP="00B04F81"/>
        </w:tc>
      </w:tr>
      <w:tr w:rsidR="00F10802" w:rsidRPr="00E84C96" w:rsidTr="00F10802">
        <w:tc>
          <w:tcPr>
            <w:tcW w:w="706" w:type="pct"/>
          </w:tcPr>
          <w:p w:rsidR="00F10802" w:rsidRPr="00E84C96" w:rsidRDefault="00F10802" w:rsidP="00B04F81">
            <w:pPr>
              <w:spacing w:after="160" w:line="259" w:lineRule="auto"/>
              <w:rPr>
                <w:lang w:val="en-US"/>
              </w:rPr>
            </w:pPr>
            <w:proofErr w:type="spellStart"/>
            <w:r w:rsidRPr="00E84C96">
              <w:rPr>
                <w:lang w:val="en-US"/>
              </w:rPr>
              <w:t>Antibio</w:t>
            </w:r>
            <w:proofErr w:type="spellEnd"/>
            <w:r w:rsidRPr="00E84C96">
              <w:rPr>
                <w:lang w:val="en-US"/>
              </w:rPr>
              <w:t xml:space="preserve"> </w:t>
            </w:r>
            <w:proofErr w:type="spellStart"/>
            <w:r w:rsidRPr="00E84C96">
              <w:rPr>
                <w:lang w:val="en-US"/>
              </w:rPr>
              <w:t>lapins</w:t>
            </w:r>
            <w:proofErr w:type="spellEnd"/>
          </w:p>
        </w:tc>
        <w:tc>
          <w:tcPr>
            <w:tcW w:w="1046" w:type="pct"/>
          </w:tcPr>
          <w:p w:rsidR="00F10802" w:rsidRPr="00E84C96" w:rsidRDefault="00F10802" w:rsidP="004B671C">
            <w:pPr>
              <w:spacing w:after="160" w:line="259" w:lineRule="auto"/>
            </w:pPr>
            <w:r>
              <w:t xml:space="preserve">Nouvelles pratiques d’élevage </w:t>
            </w:r>
          </w:p>
        </w:tc>
        <w:tc>
          <w:tcPr>
            <w:tcW w:w="410" w:type="pct"/>
          </w:tcPr>
          <w:p w:rsidR="00F10802" w:rsidRPr="00E84C96" w:rsidRDefault="00F10802" w:rsidP="00B04F81"/>
        </w:tc>
        <w:tc>
          <w:tcPr>
            <w:tcW w:w="926" w:type="pct"/>
          </w:tcPr>
          <w:p w:rsidR="00F10802" w:rsidRPr="00E84C96" w:rsidRDefault="00F10802" w:rsidP="00B04F81"/>
        </w:tc>
        <w:tc>
          <w:tcPr>
            <w:tcW w:w="759" w:type="pct"/>
          </w:tcPr>
          <w:p w:rsidR="00F10802" w:rsidRDefault="00F10802" w:rsidP="00B04F81"/>
        </w:tc>
        <w:tc>
          <w:tcPr>
            <w:tcW w:w="608" w:type="pct"/>
          </w:tcPr>
          <w:p w:rsidR="00F10802" w:rsidRPr="00E84C96" w:rsidRDefault="00F10802" w:rsidP="00B04F81"/>
        </w:tc>
        <w:tc>
          <w:tcPr>
            <w:tcW w:w="545" w:type="pct"/>
          </w:tcPr>
          <w:p w:rsidR="00F10802" w:rsidRPr="00E84C96" w:rsidRDefault="00F10802" w:rsidP="00B04F81"/>
        </w:tc>
      </w:tr>
      <w:tr w:rsidR="00F10802" w:rsidRPr="00E84C96" w:rsidTr="00F10802">
        <w:tc>
          <w:tcPr>
            <w:tcW w:w="706" w:type="pct"/>
          </w:tcPr>
          <w:p w:rsidR="00F10802" w:rsidRPr="00E84C96" w:rsidRDefault="00BF36EF" w:rsidP="00B04F81">
            <w:pPr>
              <w:spacing w:after="160" w:line="259" w:lineRule="auto"/>
            </w:pPr>
            <w:r>
              <w:t>Prairies fleuries</w:t>
            </w:r>
          </w:p>
        </w:tc>
        <w:tc>
          <w:tcPr>
            <w:tcW w:w="1046" w:type="pct"/>
          </w:tcPr>
          <w:p w:rsidR="00F10802" w:rsidRPr="00E84C96" w:rsidRDefault="00BF36EF" w:rsidP="00B04F81">
            <w:pPr>
              <w:spacing w:after="160" w:line="259" w:lineRule="auto"/>
            </w:pPr>
            <w:r w:rsidRPr="00BF36EF">
              <w:t xml:space="preserve">Amélioration de la connaissance de la biodiversité et des liens entre </w:t>
            </w:r>
            <w:r w:rsidRPr="00BF36EF">
              <w:lastRenderedPageBreak/>
              <w:t>biodiversité et valeur nutritionnelle des prairies</w:t>
            </w:r>
          </w:p>
        </w:tc>
        <w:tc>
          <w:tcPr>
            <w:tcW w:w="410" w:type="pct"/>
          </w:tcPr>
          <w:p w:rsidR="00F10802" w:rsidRPr="00E84C96" w:rsidRDefault="00F10802" w:rsidP="00B04F81"/>
        </w:tc>
        <w:tc>
          <w:tcPr>
            <w:tcW w:w="926" w:type="pct"/>
          </w:tcPr>
          <w:p w:rsidR="00F10802" w:rsidRPr="00E84C96" w:rsidRDefault="00F10802" w:rsidP="00B04F81"/>
        </w:tc>
        <w:tc>
          <w:tcPr>
            <w:tcW w:w="759" w:type="pct"/>
          </w:tcPr>
          <w:p w:rsidR="00F10802" w:rsidRDefault="00F10802" w:rsidP="00B04F81"/>
        </w:tc>
        <w:tc>
          <w:tcPr>
            <w:tcW w:w="608" w:type="pct"/>
          </w:tcPr>
          <w:p w:rsidR="00F10802" w:rsidRPr="00E84C96" w:rsidRDefault="00F10802" w:rsidP="00B04F81"/>
        </w:tc>
        <w:tc>
          <w:tcPr>
            <w:tcW w:w="545" w:type="pct"/>
          </w:tcPr>
          <w:p w:rsidR="00F10802" w:rsidRPr="00E84C96" w:rsidRDefault="00F10802" w:rsidP="00B04F81"/>
        </w:tc>
      </w:tr>
    </w:tbl>
    <w:p w:rsidR="00915271" w:rsidRPr="00E84C96" w:rsidRDefault="00915271" w:rsidP="00915271"/>
    <w:p w:rsidR="00AA0EE2" w:rsidRDefault="00AA0EE2">
      <w:r>
        <w:br w:type="page"/>
      </w:r>
    </w:p>
    <w:p w:rsidR="00AA0EE2" w:rsidRPr="00AA0EE2" w:rsidRDefault="00AA0EE2" w:rsidP="00AA0EE2">
      <w:pPr>
        <w:rPr>
          <w:rFonts w:ascii="Verdana" w:eastAsiaTheme="majorEastAsia" w:hAnsi="Verdana" w:cstheme="majorBidi"/>
          <w:color w:val="2E74B5" w:themeColor="accent1" w:themeShade="BF"/>
          <w:sz w:val="32"/>
          <w:szCs w:val="32"/>
        </w:rPr>
      </w:pPr>
      <w:r w:rsidRPr="00AA0EE2">
        <w:rPr>
          <w:rFonts w:ascii="Verdana" w:eastAsiaTheme="majorEastAsia" w:hAnsi="Verdana" w:cstheme="majorBidi"/>
          <w:color w:val="2E74B5" w:themeColor="accent1" w:themeShade="BF"/>
          <w:sz w:val="32"/>
          <w:szCs w:val="32"/>
        </w:rPr>
        <w:t xml:space="preserve">Sous-catégorie : Accès à l’emploi </w:t>
      </w:r>
      <w:r>
        <w:rPr>
          <w:rFonts w:ascii="Verdana" w:eastAsiaTheme="majorEastAsia" w:hAnsi="Verdana" w:cstheme="majorBidi"/>
          <w:color w:val="2E74B5" w:themeColor="accent1" w:themeShade="BF"/>
          <w:sz w:val="32"/>
          <w:szCs w:val="32"/>
        </w:rPr>
        <w:t>(opportunités, qualité)</w:t>
      </w:r>
    </w:p>
    <w:p w:rsidR="00AA0EE2" w:rsidRPr="00AA0EE2" w:rsidRDefault="00AA0EE2" w:rsidP="00AA0EE2"/>
    <w:tbl>
      <w:tblPr>
        <w:tblStyle w:val="Grilledutableau"/>
        <w:tblW w:w="5000" w:type="pct"/>
        <w:tblLook w:val="04A0" w:firstRow="1" w:lastRow="0" w:firstColumn="1" w:lastColumn="0" w:noHBand="0" w:noVBand="1"/>
      </w:tblPr>
      <w:tblGrid>
        <w:gridCol w:w="1975"/>
        <w:gridCol w:w="2928"/>
        <w:gridCol w:w="1148"/>
        <w:gridCol w:w="2592"/>
        <w:gridCol w:w="2124"/>
        <w:gridCol w:w="1702"/>
        <w:gridCol w:w="1525"/>
      </w:tblGrid>
      <w:tr w:rsidR="00AA0EE2" w:rsidRPr="00AA0EE2" w:rsidTr="00326371">
        <w:tc>
          <w:tcPr>
            <w:tcW w:w="706" w:type="pct"/>
          </w:tcPr>
          <w:p w:rsidR="00AA0EE2" w:rsidRPr="00AA0EE2" w:rsidRDefault="00AA0EE2" w:rsidP="00AA0EE2">
            <w:pPr>
              <w:spacing w:after="160" w:line="259" w:lineRule="auto"/>
            </w:pPr>
            <w:r w:rsidRPr="00AA0EE2">
              <w:t>Etude de cas</w:t>
            </w:r>
          </w:p>
        </w:tc>
        <w:tc>
          <w:tcPr>
            <w:tcW w:w="1046" w:type="pct"/>
          </w:tcPr>
          <w:p w:rsidR="00AA0EE2" w:rsidRPr="00AA0EE2" w:rsidRDefault="00AA0EE2" w:rsidP="00AA0EE2">
            <w:pPr>
              <w:spacing w:after="160" w:line="259" w:lineRule="auto"/>
            </w:pPr>
            <w:r w:rsidRPr="00AA0EE2">
              <w:t>descripteurs</w:t>
            </w:r>
          </w:p>
        </w:tc>
        <w:tc>
          <w:tcPr>
            <w:tcW w:w="410" w:type="pct"/>
          </w:tcPr>
          <w:p w:rsidR="00AA0EE2" w:rsidRPr="00AA0EE2" w:rsidRDefault="00AA0EE2" w:rsidP="00AA0EE2">
            <w:pPr>
              <w:spacing w:after="160" w:line="259" w:lineRule="auto"/>
            </w:pPr>
            <w:r w:rsidRPr="00AA0EE2">
              <w:t>Note proposée</w:t>
            </w:r>
          </w:p>
        </w:tc>
        <w:tc>
          <w:tcPr>
            <w:tcW w:w="926" w:type="pct"/>
          </w:tcPr>
          <w:p w:rsidR="00AA0EE2" w:rsidRPr="00AA0EE2" w:rsidRDefault="00AA0EE2" w:rsidP="00AA0EE2">
            <w:pPr>
              <w:spacing w:after="160" w:line="259" w:lineRule="auto"/>
            </w:pPr>
            <w:r w:rsidRPr="00AA0EE2">
              <w:t>Pourquoi cette note ?</w:t>
            </w:r>
          </w:p>
        </w:tc>
        <w:tc>
          <w:tcPr>
            <w:tcW w:w="759" w:type="pct"/>
          </w:tcPr>
          <w:p w:rsidR="00AA0EE2" w:rsidRPr="00AA0EE2" w:rsidRDefault="00AA0EE2" w:rsidP="00AA0EE2">
            <w:pPr>
              <w:spacing w:after="160" w:line="259" w:lineRule="auto"/>
            </w:pPr>
            <w:r w:rsidRPr="00AA0EE2">
              <w:t>quelle information vous aurait permis de mieux noter ?</w:t>
            </w:r>
          </w:p>
        </w:tc>
        <w:tc>
          <w:tcPr>
            <w:tcW w:w="608" w:type="pct"/>
          </w:tcPr>
          <w:p w:rsidR="00AA0EE2" w:rsidRPr="00AA0EE2" w:rsidRDefault="00AA0EE2" w:rsidP="00AA0EE2">
            <w:pPr>
              <w:spacing w:after="160" w:line="259" w:lineRule="auto"/>
            </w:pPr>
            <w:r w:rsidRPr="00AA0EE2">
              <w:t>qu’est ce qui aurait justifié une note supérieure ?</w:t>
            </w:r>
          </w:p>
        </w:tc>
        <w:tc>
          <w:tcPr>
            <w:tcW w:w="545" w:type="pct"/>
          </w:tcPr>
          <w:p w:rsidR="00AA0EE2" w:rsidRPr="00AA0EE2" w:rsidRDefault="00AA0EE2" w:rsidP="00AA0EE2">
            <w:pPr>
              <w:spacing w:after="160" w:line="259" w:lineRule="auto"/>
            </w:pPr>
            <w:r w:rsidRPr="00AA0EE2">
              <w:t>qu’est ce qui aurait justifié une note inférieure ?</w:t>
            </w:r>
          </w:p>
        </w:tc>
      </w:tr>
      <w:tr w:rsidR="00AA0EE2" w:rsidRPr="00AA0EE2" w:rsidTr="00326371">
        <w:tc>
          <w:tcPr>
            <w:tcW w:w="706" w:type="pct"/>
          </w:tcPr>
          <w:p w:rsidR="00AA0EE2" w:rsidRPr="00AA0EE2" w:rsidRDefault="00AA0EE2" w:rsidP="00AA0EE2">
            <w:pPr>
              <w:spacing w:after="160" w:line="259" w:lineRule="auto"/>
            </w:pPr>
            <w:proofErr w:type="spellStart"/>
            <w:r>
              <w:t>Ebly</w:t>
            </w:r>
            <w:proofErr w:type="spellEnd"/>
          </w:p>
        </w:tc>
        <w:tc>
          <w:tcPr>
            <w:tcW w:w="1046" w:type="pct"/>
          </w:tcPr>
          <w:p w:rsidR="00AA0EE2" w:rsidRPr="00AA0EE2" w:rsidRDefault="00AA0EE2" w:rsidP="00AA0EE2">
            <w:pPr>
              <w:spacing w:after="160" w:line="259" w:lineRule="auto"/>
            </w:pPr>
            <w:proofErr w:type="spellStart"/>
            <w:r w:rsidRPr="00AA0EE2">
              <w:t>Ebly</w:t>
            </w:r>
            <w:proofErr w:type="spellEnd"/>
            <w:r w:rsidRPr="00AA0EE2">
              <w:t xml:space="preserve"> a créé des emplois (123 fin 2019) dans l’usine de production (vers </w:t>
            </w:r>
            <w:proofErr w:type="spellStart"/>
            <w:r w:rsidRPr="00AA0EE2">
              <w:t>Chateaudun</w:t>
            </w:r>
            <w:proofErr w:type="spellEnd"/>
            <w:r w:rsidRPr="00AA0EE2">
              <w:t xml:space="preserve"> en Eure et Loir) et a permis le maintien d’un millier d’emplois agricoles (en Beauce).</w:t>
            </w:r>
          </w:p>
        </w:tc>
        <w:tc>
          <w:tcPr>
            <w:tcW w:w="410" w:type="pct"/>
          </w:tcPr>
          <w:p w:rsidR="00AA0EE2" w:rsidRPr="00AA0EE2" w:rsidRDefault="00AA0EE2" w:rsidP="00AA0EE2">
            <w:pPr>
              <w:spacing w:after="160" w:line="259" w:lineRule="auto"/>
            </w:pPr>
          </w:p>
        </w:tc>
        <w:tc>
          <w:tcPr>
            <w:tcW w:w="926" w:type="pct"/>
          </w:tcPr>
          <w:p w:rsidR="00AA0EE2" w:rsidRPr="00AA0EE2" w:rsidRDefault="00AA0EE2" w:rsidP="00AA0EE2">
            <w:pPr>
              <w:spacing w:after="160" w:line="259" w:lineRule="auto"/>
            </w:pPr>
          </w:p>
        </w:tc>
        <w:tc>
          <w:tcPr>
            <w:tcW w:w="759" w:type="pct"/>
          </w:tcPr>
          <w:p w:rsidR="00AA0EE2" w:rsidRPr="00AA0EE2" w:rsidRDefault="00AA0EE2" w:rsidP="00AA0EE2">
            <w:pPr>
              <w:spacing w:after="160" w:line="259" w:lineRule="auto"/>
            </w:pPr>
          </w:p>
        </w:tc>
        <w:tc>
          <w:tcPr>
            <w:tcW w:w="608" w:type="pct"/>
          </w:tcPr>
          <w:p w:rsidR="00AA0EE2" w:rsidRPr="00AA0EE2" w:rsidRDefault="00AA0EE2" w:rsidP="00AA0EE2">
            <w:pPr>
              <w:spacing w:after="160" w:line="259" w:lineRule="auto"/>
            </w:pPr>
          </w:p>
        </w:tc>
        <w:tc>
          <w:tcPr>
            <w:tcW w:w="545" w:type="pct"/>
          </w:tcPr>
          <w:p w:rsidR="00AA0EE2" w:rsidRPr="00AA0EE2" w:rsidRDefault="00AA0EE2" w:rsidP="00AA0EE2">
            <w:pPr>
              <w:spacing w:after="160" w:line="259" w:lineRule="auto"/>
            </w:pPr>
          </w:p>
        </w:tc>
      </w:tr>
      <w:tr w:rsidR="00AA0EE2" w:rsidRPr="00AA0EE2" w:rsidTr="00326371">
        <w:tc>
          <w:tcPr>
            <w:tcW w:w="706" w:type="pct"/>
          </w:tcPr>
          <w:p w:rsidR="00AA0EE2" w:rsidRPr="00AA0EE2" w:rsidRDefault="00AD56D5" w:rsidP="00AA0EE2">
            <w:pPr>
              <w:spacing w:after="160" w:line="259" w:lineRule="auto"/>
            </w:pPr>
            <w:proofErr w:type="spellStart"/>
            <w:r>
              <w:t>Platanor</w:t>
            </w:r>
            <w:proofErr w:type="spellEnd"/>
          </w:p>
        </w:tc>
        <w:tc>
          <w:tcPr>
            <w:tcW w:w="1046" w:type="pct"/>
          </w:tcPr>
          <w:p w:rsidR="00AA0EE2" w:rsidRPr="00AA0EE2" w:rsidRDefault="00AD56D5" w:rsidP="00AA0EE2">
            <w:pPr>
              <w:spacing w:after="160" w:line="259" w:lineRule="auto"/>
            </w:pPr>
            <w:r w:rsidRPr="00AD56D5">
              <w:t>Sauvegarde des empois : Selon le site Web de Voies Navigables de France (VNF) 350 entreprises et 2 000 emplois permanents dépendent directement des activités liées au Canal du Midi et son attrait touristique</w:t>
            </w:r>
          </w:p>
        </w:tc>
        <w:tc>
          <w:tcPr>
            <w:tcW w:w="410" w:type="pct"/>
          </w:tcPr>
          <w:p w:rsidR="00AA0EE2" w:rsidRPr="00AA0EE2" w:rsidRDefault="00AA0EE2" w:rsidP="00AA0EE2">
            <w:pPr>
              <w:spacing w:after="160" w:line="259" w:lineRule="auto"/>
            </w:pPr>
          </w:p>
        </w:tc>
        <w:tc>
          <w:tcPr>
            <w:tcW w:w="926" w:type="pct"/>
          </w:tcPr>
          <w:p w:rsidR="00AA0EE2" w:rsidRPr="00AA0EE2" w:rsidRDefault="00AA0EE2" w:rsidP="00AA0EE2">
            <w:pPr>
              <w:spacing w:after="160" w:line="259" w:lineRule="auto"/>
            </w:pPr>
          </w:p>
        </w:tc>
        <w:tc>
          <w:tcPr>
            <w:tcW w:w="759" w:type="pct"/>
          </w:tcPr>
          <w:p w:rsidR="00AA0EE2" w:rsidRPr="00AA0EE2" w:rsidRDefault="00AA0EE2" w:rsidP="00AA0EE2">
            <w:pPr>
              <w:spacing w:after="160" w:line="259" w:lineRule="auto"/>
            </w:pPr>
          </w:p>
        </w:tc>
        <w:tc>
          <w:tcPr>
            <w:tcW w:w="608" w:type="pct"/>
          </w:tcPr>
          <w:p w:rsidR="00AA0EE2" w:rsidRPr="00AA0EE2" w:rsidRDefault="00AA0EE2" w:rsidP="00AA0EE2">
            <w:pPr>
              <w:spacing w:after="160" w:line="259" w:lineRule="auto"/>
            </w:pPr>
          </w:p>
        </w:tc>
        <w:tc>
          <w:tcPr>
            <w:tcW w:w="545" w:type="pct"/>
          </w:tcPr>
          <w:p w:rsidR="00AA0EE2" w:rsidRPr="00AA0EE2" w:rsidRDefault="00AA0EE2" w:rsidP="00AA0EE2">
            <w:pPr>
              <w:spacing w:after="160" w:line="259" w:lineRule="auto"/>
            </w:pPr>
          </w:p>
        </w:tc>
      </w:tr>
      <w:tr w:rsidR="00AA0EE2" w:rsidRPr="00AA0EE2" w:rsidTr="00326371">
        <w:tc>
          <w:tcPr>
            <w:tcW w:w="706" w:type="pct"/>
          </w:tcPr>
          <w:p w:rsidR="00AA0EE2" w:rsidRPr="00AA0EE2" w:rsidRDefault="00056A3C" w:rsidP="00AA0EE2">
            <w:pPr>
              <w:spacing w:after="160" w:line="259" w:lineRule="auto"/>
            </w:pPr>
            <w:r>
              <w:t>Poissons végétariens</w:t>
            </w:r>
          </w:p>
        </w:tc>
        <w:tc>
          <w:tcPr>
            <w:tcW w:w="1046" w:type="pct"/>
          </w:tcPr>
          <w:p w:rsidR="00AA0EE2" w:rsidRPr="00AA0EE2" w:rsidRDefault="00056A3C" w:rsidP="00AA0EE2">
            <w:pPr>
              <w:spacing w:after="160" w:line="259" w:lineRule="auto"/>
            </w:pPr>
            <w:r w:rsidRPr="00056A3C">
              <w:t>En France ils concernent la préservation des emplois de la filière aquacole consacrée à l’élevage de la truite. Et un rapprochement entre les modes de production et les aspirations de la société (du fait de la préservation de la biodiversité marine)</w:t>
            </w:r>
          </w:p>
        </w:tc>
        <w:tc>
          <w:tcPr>
            <w:tcW w:w="410" w:type="pct"/>
          </w:tcPr>
          <w:p w:rsidR="00AA0EE2" w:rsidRPr="00AA0EE2" w:rsidRDefault="00AA0EE2" w:rsidP="00AA0EE2">
            <w:pPr>
              <w:spacing w:after="160" w:line="259" w:lineRule="auto"/>
            </w:pPr>
          </w:p>
        </w:tc>
        <w:tc>
          <w:tcPr>
            <w:tcW w:w="926" w:type="pct"/>
          </w:tcPr>
          <w:p w:rsidR="00AA0EE2" w:rsidRPr="00AA0EE2" w:rsidRDefault="00AA0EE2" w:rsidP="00AA0EE2">
            <w:pPr>
              <w:spacing w:after="160" w:line="259" w:lineRule="auto"/>
            </w:pPr>
          </w:p>
        </w:tc>
        <w:tc>
          <w:tcPr>
            <w:tcW w:w="759" w:type="pct"/>
          </w:tcPr>
          <w:p w:rsidR="00AA0EE2" w:rsidRPr="00AA0EE2" w:rsidRDefault="00AA0EE2" w:rsidP="00AA0EE2">
            <w:pPr>
              <w:spacing w:after="160" w:line="259" w:lineRule="auto"/>
            </w:pPr>
          </w:p>
        </w:tc>
        <w:tc>
          <w:tcPr>
            <w:tcW w:w="608" w:type="pct"/>
          </w:tcPr>
          <w:p w:rsidR="00AA0EE2" w:rsidRPr="00AA0EE2" w:rsidRDefault="00AA0EE2" w:rsidP="00AA0EE2">
            <w:pPr>
              <w:spacing w:after="160" w:line="259" w:lineRule="auto"/>
            </w:pPr>
          </w:p>
        </w:tc>
        <w:tc>
          <w:tcPr>
            <w:tcW w:w="545" w:type="pct"/>
          </w:tcPr>
          <w:p w:rsidR="00AA0EE2" w:rsidRPr="00AA0EE2" w:rsidRDefault="00AA0EE2" w:rsidP="00AA0EE2">
            <w:pPr>
              <w:spacing w:after="160" w:line="259" w:lineRule="auto"/>
            </w:pPr>
          </w:p>
        </w:tc>
      </w:tr>
      <w:tr w:rsidR="00AA0EE2" w:rsidRPr="00AA0EE2" w:rsidTr="00326371">
        <w:tc>
          <w:tcPr>
            <w:tcW w:w="706" w:type="pct"/>
          </w:tcPr>
          <w:p w:rsidR="00AA0EE2" w:rsidRPr="00AA0EE2" w:rsidRDefault="00AA0EE2" w:rsidP="00AA0EE2">
            <w:pPr>
              <w:spacing w:after="160" w:line="259" w:lineRule="auto"/>
            </w:pPr>
          </w:p>
        </w:tc>
        <w:tc>
          <w:tcPr>
            <w:tcW w:w="1046" w:type="pct"/>
          </w:tcPr>
          <w:p w:rsidR="00AA0EE2" w:rsidRPr="00AA0EE2" w:rsidRDefault="00AA0EE2" w:rsidP="00AA0EE2">
            <w:pPr>
              <w:spacing w:after="160" w:line="259" w:lineRule="auto"/>
            </w:pPr>
          </w:p>
        </w:tc>
        <w:tc>
          <w:tcPr>
            <w:tcW w:w="410" w:type="pct"/>
          </w:tcPr>
          <w:p w:rsidR="00AA0EE2" w:rsidRPr="00AA0EE2" w:rsidRDefault="00AA0EE2" w:rsidP="00AA0EE2">
            <w:pPr>
              <w:spacing w:after="160" w:line="259" w:lineRule="auto"/>
            </w:pPr>
          </w:p>
        </w:tc>
        <w:tc>
          <w:tcPr>
            <w:tcW w:w="926" w:type="pct"/>
          </w:tcPr>
          <w:p w:rsidR="00AA0EE2" w:rsidRPr="00AA0EE2" w:rsidRDefault="00AA0EE2" w:rsidP="00AA0EE2">
            <w:pPr>
              <w:spacing w:after="160" w:line="259" w:lineRule="auto"/>
            </w:pPr>
          </w:p>
        </w:tc>
        <w:tc>
          <w:tcPr>
            <w:tcW w:w="759" w:type="pct"/>
          </w:tcPr>
          <w:p w:rsidR="00AA0EE2" w:rsidRPr="00AA0EE2" w:rsidRDefault="00AA0EE2" w:rsidP="00AA0EE2">
            <w:pPr>
              <w:spacing w:after="160" w:line="259" w:lineRule="auto"/>
            </w:pPr>
          </w:p>
        </w:tc>
        <w:tc>
          <w:tcPr>
            <w:tcW w:w="608" w:type="pct"/>
          </w:tcPr>
          <w:p w:rsidR="00AA0EE2" w:rsidRPr="00AA0EE2" w:rsidRDefault="00AA0EE2" w:rsidP="00AA0EE2">
            <w:pPr>
              <w:spacing w:after="160" w:line="259" w:lineRule="auto"/>
            </w:pPr>
          </w:p>
        </w:tc>
        <w:tc>
          <w:tcPr>
            <w:tcW w:w="545" w:type="pct"/>
          </w:tcPr>
          <w:p w:rsidR="00AA0EE2" w:rsidRPr="00AA0EE2" w:rsidRDefault="00AA0EE2" w:rsidP="00AA0EE2">
            <w:pPr>
              <w:spacing w:after="160" w:line="259" w:lineRule="auto"/>
            </w:pPr>
          </w:p>
        </w:tc>
      </w:tr>
    </w:tbl>
    <w:p w:rsidR="00AA0EE2" w:rsidRPr="00AA0EE2" w:rsidRDefault="00AA0EE2" w:rsidP="00AA0EE2"/>
    <w:p w:rsidR="00915271" w:rsidRDefault="00AA0EE2" w:rsidP="00915271">
      <w:r w:rsidRPr="00AA0EE2">
        <w:br w:type="page"/>
      </w:r>
    </w:p>
    <w:p w:rsidR="00915271" w:rsidRDefault="004B671C" w:rsidP="00915271">
      <w:pPr>
        <w:pStyle w:val="Titre1"/>
      </w:pPr>
      <w:r>
        <w:t xml:space="preserve">Sous-catégorie : </w:t>
      </w:r>
      <w:r w:rsidR="00915271">
        <w:t>Estime de soi et image du métier exercé</w:t>
      </w:r>
    </w:p>
    <w:p w:rsidR="00915271" w:rsidRPr="0026591B" w:rsidRDefault="00915271" w:rsidP="00915271"/>
    <w:tbl>
      <w:tblPr>
        <w:tblStyle w:val="Grilledutableau"/>
        <w:tblW w:w="5164" w:type="pct"/>
        <w:tblLook w:val="04A0" w:firstRow="1" w:lastRow="0" w:firstColumn="1" w:lastColumn="0" w:noHBand="0" w:noVBand="1"/>
      </w:tblPr>
      <w:tblGrid>
        <w:gridCol w:w="2016"/>
        <w:gridCol w:w="2377"/>
        <w:gridCol w:w="1272"/>
        <w:gridCol w:w="2694"/>
        <w:gridCol w:w="2550"/>
        <w:gridCol w:w="1703"/>
        <w:gridCol w:w="1841"/>
      </w:tblGrid>
      <w:tr w:rsidR="00B12451" w:rsidRPr="00E84C96" w:rsidTr="00B12451">
        <w:tc>
          <w:tcPr>
            <w:tcW w:w="697" w:type="pct"/>
          </w:tcPr>
          <w:p w:rsidR="004B671C" w:rsidRPr="00E84C96" w:rsidRDefault="004B671C" w:rsidP="00B04F81">
            <w:pPr>
              <w:spacing w:after="160" w:line="259" w:lineRule="auto"/>
            </w:pPr>
            <w:r w:rsidRPr="00E84C96">
              <w:t>Etude de cas</w:t>
            </w:r>
          </w:p>
        </w:tc>
        <w:tc>
          <w:tcPr>
            <w:tcW w:w="822" w:type="pct"/>
          </w:tcPr>
          <w:p w:rsidR="004B671C" w:rsidRPr="00E84C96" w:rsidRDefault="004B671C" w:rsidP="00B04F81">
            <w:pPr>
              <w:spacing w:after="160" w:line="259" w:lineRule="auto"/>
            </w:pPr>
            <w:r w:rsidRPr="00E84C96">
              <w:t>descripteurs</w:t>
            </w:r>
          </w:p>
        </w:tc>
        <w:tc>
          <w:tcPr>
            <w:tcW w:w="440" w:type="pct"/>
          </w:tcPr>
          <w:p w:rsidR="004B671C" w:rsidRPr="00E84C96" w:rsidRDefault="004B671C" w:rsidP="00B04F81">
            <w:r>
              <w:t>Note proposée</w:t>
            </w:r>
          </w:p>
        </w:tc>
        <w:tc>
          <w:tcPr>
            <w:tcW w:w="932" w:type="pct"/>
          </w:tcPr>
          <w:p w:rsidR="004B671C" w:rsidRDefault="004B671C" w:rsidP="00B04F81">
            <w:r>
              <w:t>Pourquoi cette note ?</w:t>
            </w:r>
          </w:p>
        </w:tc>
        <w:tc>
          <w:tcPr>
            <w:tcW w:w="882" w:type="pct"/>
          </w:tcPr>
          <w:p w:rsidR="004B671C" w:rsidRDefault="004B671C" w:rsidP="00B04F81">
            <w:r w:rsidRPr="004E2002">
              <w:t>quelle information vous aurait permis de mieux noter ?</w:t>
            </w:r>
          </w:p>
        </w:tc>
        <w:tc>
          <w:tcPr>
            <w:tcW w:w="589" w:type="pct"/>
          </w:tcPr>
          <w:p w:rsidR="004B671C" w:rsidRDefault="004B671C" w:rsidP="00B04F81">
            <w:r>
              <w:t>qu’est ce qui aurait justifié une note supérieure ?</w:t>
            </w:r>
          </w:p>
        </w:tc>
        <w:tc>
          <w:tcPr>
            <w:tcW w:w="637" w:type="pct"/>
          </w:tcPr>
          <w:p w:rsidR="004B671C" w:rsidRDefault="004B671C" w:rsidP="00B04F81">
            <w:r w:rsidRPr="0026591B">
              <w:t xml:space="preserve">qu’est ce qui aurait justifié une note </w:t>
            </w:r>
            <w:r>
              <w:t>inférieure ?</w:t>
            </w:r>
          </w:p>
        </w:tc>
      </w:tr>
      <w:tr w:rsidR="00B12451" w:rsidRPr="00BF36EF" w:rsidTr="00B12451">
        <w:tc>
          <w:tcPr>
            <w:tcW w:w="697" w:type="pct"/>
          </w:tcPr>
          <w:p w:rsidR="004B671C" w:rsidRPr="00E84C96" w:rsidRDefault="004B671C" w:rsidP="00B04F81">
            <w:pPr>
              <w:spacing w:after="160" w:line="259" w:lineRule="auto"/>
            </w:pPr>
            <w:r w:rsidRPr="00E84C96">
              <w:t>Bien-être animal</w:t>
            </w:r>
          </w:p>
        </w:tc>
        <w:tc>
          <w:tcPr>
            <w:tcW w:w="822" w:type="pct"/>
          </w:tcPr>
          <w:p w:rsidR="00BF36EF" w:rsidRDefault="00BF36EF" w:rsidP="00BF36EF">
            <w:pPr>
              <w:spacing w:after="160" w:line="259" w:lineRule="auto"/>
            </w:pPr>
            <w:r>
              <w:t>Prise en compte des valeurs</w:t>
            </w:r>
            <w:r w:rsidRPr="00BF36EF">
              <w:t xml:space="preserve"> </w:t>
            </w:r>
            <w:r>
              <w:t>éthiques des agriculteurs</w:t>
            </w:r>
            <w:r w:rsidRPr="00BF36EF">
              <w:t>;</w:t>
            </w:r>
          </w:p>
          <w:p w:rsidR="004B671C" w:rsidRPr="00BF36EF" w:rsidRDefault="00BF36EF" w:rsidP="00BF36EF">
            <w:pPr>
              <w:spacing w:after="160" w:line="259" w:lineRule="auto"/>
            </w:pPr>
            <w:r>
              <w:t>meilleure image du métier</w:t>
            </w:r>
          </w:p>
        </w:tc>
        <w:tc>
          <w:tcPr>
            <w:tcW w:w="440" w:type="pct"/>
          </w:tcPr>
          <w:p w:rsidR="004B671C" w:rsidRPr="00BF36EF" w:rsidRDefault="004B671C" w:rsidP="00B04F81"/>
        </w:tc>
        <w:tc>
          <w:tcPr>
            <w:tcW w:w="932" w:type="pct"/>
          </w:tcPr>
          <w:p w:rsidR="004B671C" w:rsidRPr="00BF36EF" w:rsidRDefault="004B671C" w:rsidP="00B04F81"/>
        </w:tc>
        <w:tc>
          <w:tcPr>
            <w:tcW w:w="882" w:type="pct"/>
          </w:tcPr>
          <w:p w:rsidR="004B671C" w:rsidRPr="00BF36EF" w:rsidRDefault="004B671C" w:rsidP="00B04F81"/>
        </w:tc>
        <w:tc>
          <w:tcPr>
            <w:tcW w:w="589" w:type="pct"/>
          </w:tcPr>
          <w:p w:rsidR="004B671C" w:rsidRPr="00BF36EF" w:rsidRDefault="004B671C" w:rsidP="00B04F81"/>
        </w:tc>
        <w:tc>
          <w:tcPr>
            <w:tcW w:w="637" w:type="pct"/>
          </w:tcPr>
          <w:p w:rsidR="004B671C" w:rsidRPr="00BF36EF" w:rsidRDefault="004B671C" w:rsidP="00B04F81"/>
        </w:tc>
      </w:tr>
      <w:tr w:rsidR="00B12451" w:rsidRPr="00E84C96" w:rsidTr="00B12451">
        <w:tc>
          <w:tcPr>
            <w:tcW w:w="697" w:type="pct"/>
          </w:tcPr>
          <w:p w:rsidR="004B671C" w:rsidRPr="00E84C96" w:rsidRDefault="004B671C" w:rsidP="00B04F81">
            <w:pPr>
              <w:spacing w:after="160" w:line="259" w:lineRule="auto"/>
            </w:pPr>
            <w:proofErr w:type="spellStart"/>
            <w:r w:rsidRPr="00E84C96">
              <w:t>Antibio</w:t>
            </w:r>
            <w:proofErr w:type="spellEnd"/>
            <w:r w:rsidRPr="00E84C96">
              <w:t xml:space="preserve"> lapins</w:t>
            </w:r>
          </w:p>
        </w:tc>
        <w:tc>
          <w:tcPr>
            <w:tcW w:w="822" w:type="pct"/>
          </w:tcPr>
          <w:p w:rsidR="004B671C" w:rsidRPr="00E84C96" w:rsidRDefault="00C21A1E" w:rsidP="00B04F81">
            <w:pPr>
              <w:spacing w:after="160" w:line="259" w:lineRule="auto"/>
            </w:pPr>
            <w:r>
              <w:t xml:space="preserve">élévation de la technicité des </w:t>
            </w:r>
            <w:proofErr w:type="spellStart"/>
            <w:r w:rsidR="004B671C" w:rsidRPr="00E84C96">
              <w:t>cuniculteurs</w:t>
            </w:r>
            <w:proofErr w:type="spellEnd"/>
            <w:r w:rsidR="004B671C" w:rsidRPr="00E84C96">
              <w:t xml:space="preserve">, meilleure image du métier de </w:t>
            </w:r>
            <w:proofErr w:type="spellStart"/>
            <w:r w:rsidR="004B671C" w:rsidRPr="00E84C96">
              <w:t>cuniculteur</w:t>
            </w:r>
            <w:proofErr w:type="spellEnd"/>
          </w:p>
        </w:tc>
        <w:tc>
          <w:tcPr>
            <w:tcW w:w="440" w:type="pct"/>
          </w:tcPr>
          <w:p w:rsidR="004B671C" w:rsidRPr="00E84C96" w:rsidRDefault="004B671C" w:rsidP="00B04F81"/>
        </w:tc>
        <w:tc>
          <w:tcPr>
            <w:tcW w:w="932" w:type="pct"/>
          </w:tcPr>
          <w:p w:rsidR="004B671C" w:rsidRPr="00E84C96" w:rsidRDefault="004B671C" w:rsidP="00B04F81"/>
        </w:tc>
        <w:tc>
          <w:tcPr>
            <w:tcW w:w="882" w:type="pct"/>
          </w:tcPr>
          <w:p w:rsidR="004B671C" w:rsidRDefault="004B671C" w:rsidP="00B04F81"/>
        </w:tc>
        <w:tc>
          <w:tcPr>
            <w:tcW w:w="589" w:type="pct"/>
          </w:tcPr>
          <w:p w:rsidR="004B671C" w:rsidRPr="00E84C96" w:rsidRDefault="004B671C" w:rsidP="00B04F81"/>
        </w:tc>
        <w:tc>
          <w:tcPr>
            <w:tcW w:w="637" w:type="pct"/>
          </w:tcPr>
          <w:p w:rsidR="004B671C" w:rsidRPr="00E84C96" w:rsidRDefault="004B671C" w:rsidP="00B04F81"/>
        </w:tc>
      </w:tr>
      <w:tr w:rsidR="00B12451" w:rsidRPr="00E84C96" w:rsidTr="00B12451">
        <w:tc>
          <w:tcPr>
            <w:tcW w:w="697" w:type="pct"/>
            <w:tcBorders>
              <w:bottom w:val="single" w:sz="6" w:space="0" w:color="auto"/>
            </w:tcBorders>
          </w:tcPr>
          <w:p w:rsidR="004B671C" w:rsidRPr="00E84C96" w:rsidRDefault="004B671C" w:rsidP="00B04F81">
            <w:pPr>
              <w:spacing w:after="160" w:line="259" w:lineRule="auto"/>
            </w:pPr>
            <w:r w:rsidRPr="00E84C96">
              <w:t>Prairies fleuries</w:t>
            </w:r>
          </w:p>
        </w:tc>
        <w:tc>
          <w:tcPr>
            <w:tcW w:w="822" w:type="pct"/>
            <w:tcBorders>
              <w:bottom w:val="single" w:sz="6" w:space="0" w:color="auto"/>
            </w:tcBorders>
          </w:tcPr>
          <w:p w:rsidR="004B671C" w:rsidRPr="00E84C96" w:rsidRDefault="004B671C" w:rsidP="00BF36EF">
            <w:pPr>
              <w:spacing w:after="160" w:line="259" w:lineRule="auto"/>
            </w:pPr>
            <w:r w:rsidRPr="00E84C96">
              <w:t>Changement des critères de l’excellence professionnelle Reconnaissance sociale pratiques des éleveurs : (</w:t>
            </w:r>
            <w:r w:rsidR="00A242FF">
              <w:t xml:space="preserve">de </w:t>
            </w:r>
            <w:r w:rsidRPr="00E84C96">
              <w:t>non productif et pollueur -&gt;</w:t>
            </w:r>
            <w:r w:rsidR="00A242FF">
              <w:t xml:space="preserve"> à </w:t>
            </w:r>
            <w:r w:rsidRPr="00E84C96">
              <w:t xml:space="preserve"> producteur </w:t>
            </w:r>
            <w:r w:rsidR="00A242FF">
              <w:t xml:space="preserve">de </w:t>
            </w:r>
            <w:r w:rsidRPr="00E84C96">
              <w:t xml:space="preserve">biodiversité) </w:t>
            </w:r>
          </w:p>
        </w:tc>
        <w:tc>
          <w:tcPr>
            <w:tcW w:w="440" w:type="pct"/>
            <w:tcBorders>
              <w:bottom w:val="single" w:sz="6" w:space="0" w:color="auto"/>
            </w:tcBorders>
          </w:tcPr>
          <w:p w:rsidR="004B671C" w:rsidRPr="00E84C96" w:rsidRDefault="004B671C" w:rsidP="00B04F81"/>
        </w:tc>
        <w:tc>
          <w:tcPr>
            <w:tcW w:w="932" w:type="pct"/>
            <w:tcBorders>
              <w:bottom w:val="single" w:sz="6" w:space="0" w:color="auto"/>
            </w:tcBorders>
          </w:tcPr>
          <w:p w:rsidR="004B671C" w:rsidRPr="00E84C96" w:rsidRDefault="004B671C" w:rsidP="00B04F81"/>
        </w:tc>
        <w:tc>
          <w:tcPr>
            <w:tcW w:w="882" w:type="pct"/>
            <w:tcBorders>
              <w:bottom w:val="single" w:sz="6" w:space="0" w:color="auto"/>
            </w:tcBorders>
          </w:tcPr>
          <w:p w:rsidR="004B671C" w:rsidRDefault="004B671C" w:rsidP="00B04F81"/>
        </w:tc>
        <w:tc>
          <w:tcPr>
            <w:tcW w:w="589" w:type="pct"/>
            <w:tcBorders>
              <w:bottom w:val="single" w:sz="6" w:space="0" w:color="auto"/>
            </w:tcBorders>
          </w:tcPr>
          <w:p w:rsidR="004B671C" w:rsidRPr="00E84C96" w:rsidRDefault="004B671C" w:rsidP="00B04F81"/>
        </w:tc>
        <w:tc>
          <w:tcPr>
            <w:tcW w:w="637" w:type="pct"/>
            <w:tcBorders>
              <w:bottom w:val="single" w:sz="6" w:space="0" w:color="auto"/>
            </w:tcBorders>
          </w:tcPr>
          <w:p w:rsidR="004B671C" w:rsidRPr="00E84C96" w:rsidRDefault="004B671C" w:rsidP="00B04F81"/>
        </w:tc>
      </w:tr>
      <w:tr w:rsidR="00B12451" w:rsidRPr="00E84C96" w:rsidTr="00B12451">
        <w:tc>
          <w:tcPr>
            <w:tcW w:w="697" w:type="pct"/>
          </w:tcPr>
          <w:p w:rsidR="004B671C" w:rsidRPr="00E84C96" w:rsidRDefault="004B671C" w:rsidP="00B04F81">
            <w:pPr>
              <w:spacing w:after="160" w:line="259" w:lineRule="auto"/>
            </w:pPr>
          </w:p>
        </w:tc>
        <w:tc>
          <w:tcPr>
            <w:tcW w:w="822" w:type="pct"/>
          </w:tcPr>
          <w:p w:rsidR="004B671C" w:rsidRPr="00E84C96" w:rsidRDefault="004B671C" w:rsidP="00B04F81">
            <w:pPr>
              <w:spacing w:after="160" w:line="259" w:lineRule="auto"/>
            </w:pPr>
          </w:p>
        </w:tc>
        <w:tc>
          <w:tcPr>
            <w:tcW w:w="440" w:type="pct"/>
          </w:tcPr>
          <w:p w:rsidR="004B671C" w:rsidRPr="00E84C96" w:rsidRDefault="004B671C" w:rsidP="00B04F81"/>
        </w:tc>
        <w:tc>
          <w:tcPr>
            <w:tcW w:w="932" w:type="pct"/>
          </w:tcPr>
          <w:p w:rsidR="004B671C" w:rsidRPr="00E84C96" w:rsidRDefault="004B671C" w:rsidP="00B04F81"/>
        </w:tc>
        <w:tc>
          <w:tcPr>
            <w:tcW w:w="882" w:type="pct"/>
          </w:tcPr>
          <w:p w:rsidR="004B671C" w:rsidRDefault="004B671C" w:rsidP="00B04F81"/>
        </w:tc>
        <w:tc>
          <w:tcPr>
            <w:tcW w:w="589" w:type="pct"/>
          </w:tcPr>
          <w:p w:rsidR="004B671C" w:rsidRPr="00E84C96" w:rsidRDefault="004B671C" w:rsidP="00B04F81"/>
        </w:tc>
        <w:tc>
          <w:tcPr>
            <w:tcW w:w="637" w:type="pct"/>
          </w:tcPr>
          <w:p w:rsidR="004B671C" w:rsidRPr="00E84C96" w:rsidRDefault="004B671C" w:rsidP="00B04F81"/>
        </w:tc>
      </w:tr>
    </w:tbl>
    <w:p w:rsidR="00F02D83" w:rsidRDefault="00F02D83"/>
    <w:sectPr w:rsidR="00F02D83" w:rsidSect="00E84C9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8F" w:rsidRDefault="00A5438F" w:rsidP="00A5438F">
      <w:pPr>
        <w:spacing w:after="0" w:line="240" w:lineRule="auto"/>
      </w:pPr>
      <w:r>
        <w:separator/>
      </w:r>
    </w:p>
  </w:endnote>
  <w:endnote w:type="continuationSeparator" w:id="0">
    <w:p w:rsidR="00A5438F" w:rsidRDefault="00A5438F" w:rsidP="00A5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29759"/>
      <w:docPartObj>
        <w:docPartGallery w:val="Page Numbers (Bottom of Page)"/>
        <w:docPartUnique/>
      </w:docPartObj>
    </w:sdtPr>
    <w:sdtEndPr/>
    <w:sdtContent>
      <w:p w:rsidR="00173BE3" w:rsidRDefault="00173BE3">
        <w:pPr>
          <w:pStyle w:val="Pieddepage"/>
          <w:jc w:val="center"/>
        </w:pPr>
        <w:r>
          <w:fldChar w:fldCharType="begin"/>
        </w:r>
        <w:r>
          <w:instrText>PAGE   \* MERGEFORMAT</w:instrText>
        </w:r>
        <w:r>
          <w:fldChar w:fldCharType="separate"/>
        </w:r>
        <w:r w:rsidR="008D7AE4">
          <w:rPr>
            <w:noProof/>
          </w:rPr>
          <w:t>7</w:t>
        </w:r>
        <w:r>
          <w:fldChar w:fldCharType="end"/>
        </w:r>
      </w:p>
    </w:sdtContent>
  </w:sdt>
  <w:p w:rsidR="00A5438F" w:rsidRDefault="00A543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8F" w:rsidRDefault="00A5438F" w:rsidP="00A5438F">
      <w:pPr>
        <w:spacing w:after="0" w:line="240" w:lineRule="auto"/>
      </w:pPr>
      <w:r>
        <w:separator/>
      </w:r>
    </w:p>
  </w:footnote>
  <w:footnote w:type="continuationSeparator" w:id="0">
    <w:p w:rsidR="00A5438F" w:rsidRDefault="00A5438F" w:rsidP="00A54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A393D"/>
    <w:multiLevelType w:val="hybridMultilevel"/>
    <w:tmpl w:val="32B6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6A3D03"/>
    <w:multiLevelType w:val="hybridMultilevel"/>
    <w:tmpl w:val="C0D8A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96"/>
    <w:rsid w:val="0000410A"/>
    <w:rsid w:val="00056A3C"/>
    <w:rsid w:val="00065328"/>
    <w:rsid w:val="00082F3D"/>
    <w:rsid w:val="00173BE3"/>
    <w:rsid w:val="0026591B"/>
    <w:rsid w:val="002F6A28"/>
    <w:rsid w:val="004B671C"/>
    <w:rsid w:val="004C36C6"/>
    <w:rsid w:val="004C39BD"/>
    <w:rsid w:val="00530D39"/>
    <w:rsid w:val="00683CAE"/>
    <w:rsid w:val="008D5230"/>
    <w:rsid w:val="008D7AE4"/>
    <w:rsid w:val="00915271"/>
    <w:rsid w:val="009437FD"/>
    <w:rsid w:val="00A016C4"/>
    <w:rsid w:val="00A242FF"/>
    <w:rsid w:val="00A5438F"/>
    <w:rsid w:val="00A554FA"/>
    <w:rsid w:val="00AA0EE2"/>
    <w:rsid w:val="00AD56D5"/>
    <w:rsid w:val="00AD6944"/>
    <w:rsid w:val="00B12451"/>
    <w:rsid w:val="00B309CF"/>
    <w:rsid w:val="00BF36EF"/>
    <w:rsid w:val="00C21A1E"/>
    <w:rsid w:val="00D04100"/>
    <w:rsid w:val="00E156A2"/>
    <w:rsid w:val="00E84C96"/>
    <w:rsid w:val="00F02D83"/>
    <w:rsid w:val="00F10802"/>
    <w:rsid w:val="00FA2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57D4"/>
  <w15:chartTrackingRefBased/>
  <w15:docId w15:val="{ADC1F490-F9C5-4A37-8A7B-39C5DB3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04100"/>
    <w:pPr>
      <w:keepNext/>
      <w:keepLines/>
      <w:spacing w:before="240" w:after="0"/>
      <w:outlineLvl w:val="0"/>
    </w:pPr>
    <w:rPr>
      <w:rFonts w:ascii="Verdana" w:eastAsiaTheme="majorEastAsia" w:hAnsi="Verdana"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8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84C96"/>
    <w:rPr>
      <w:sz w:val="16"/>
      <w:szCs w:val="16"/>
    </w:rPr>
  </w:style>
  <w:style w:type="paragraph" w:styleId="Commentaire">
    <w:name w:val="annotation text"/>
    <w:basedOn w:val="Normal"/>
    <w:link w:val="CommentaireCar"/>
    <w:uiPriority w:val="99"/>
    <w:semiHidden/>
    <w:unhideWhenUsed/>
    <w:rsid w:val="00E84C96"/>
    <w:pPr>
      <w:spacing w:line="240" w:lineRule="auto"/>
    </w:pPr>
    <w:rPr>
      <w:sz w:val="20"/>
      <w:szCs w:val="20"/>
    </w:rPr>
  </w:style>
  <w:style w:type="character" w:customStyle="1" w:styleId="CommentaireCar">
    <w:name w:val="Commentaire Car"/>
    <w:basedOn w:val="Policepardfaut"/>
    <w:link w:val="Commentaire"/>
    <w:uiPriority w:val="99"/>
    <w:semiHidden/>
    <w:rsid w:val="00E84C96"/>
    <w:rPr>
      <w:sz w:val="20"/>
      <w:szCs w:val="20"/>
    </w:rPr>
  </w:style>
  <w:style w:type="paragraph" w:styleId="Textedebulles">
    <w:name w:val="Balloon Text"/>
    <w:basedOn w:val="Normal"/>
    <w:link w:val="TextedebullesCar"/>
    <w:uiPriority w:val="99"/>
    <w:semiHidden/>
    <w:unhideWhenUsed/>
    <w:rsid w:val="00E84C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4C96"/>
    <w:rPr>
      <w:rFonts w:ascii="Segoe UI" w:hAnsi="Segoe UI" w:cs="Segoe UI"/>
      <w:sz w:val="18"/>
      <w:szCs w:val="18"/>
    </w:rPr>
  </w:style>
  <w:style w:type="character" w:customStyle="1" w:styleId="Titre1Car">
    <w:name w:val="Titre 1 Car"/>
    <w:basedOn w:val="Policepardfaut"/>
    <w:link w:val="Titre1"/>
    <w:uiPriority w:val="9"/>
    <w:rsid w:val="00D04100"/>
    <w:rPr>
      <w:rFonts w:ascii="Verdana" w:eastAsiaTheme="majorEastAsia" w:hAnsi="Verdana" w:cstheme="majorBidi"/>
      <w:color w:val="2E74B5" w:themeColor="accent1" w:themeShade="BF"/>
      <w:sz w:val="32"/>
      <w:szCs w:val="32"/>
    </w:rPr>
  </w:style>
  <w:style w:type="paragraph" w:styleId="Paragraphedeliste">
    <w:name w:val="List Paragraph"/>
    <w:basedOn w:val="Normal"/>
    <w:uiPriority w:val="34"/>
    <w:qFormat/>
    <w:rsid w:val="00E156A2"/>
    <w:pPr>
      <w:ind w:left="720"/>
      <w:contextualSpacing/>
    </w:pPr>
  </w:style>
  <w:style w:type="paragraph" w:styleId="En-tte">
    <w:name w:val="header"/>
    <w:basedOn w:val="Normal"/>
    <w:link w:val="En-tteCar"/>
    <w:uiPriority w:val="99"/>
    <w:unhideWhenUsed/>
    <w:rsid w:val="00A5438F"/>
    <w:pPr>
      <w:tabs>
        <w:tab w:val="center" w:pos="4536"/>
        <w:tab w:val="right" w:pos="9072"/>
      </w:tabs>
      <w:spacing w:after="0" w:line="240" w:lineRule="auto"/>
    </w:pPr>
  </w:style>
  <w:style w:type="character" w:customStyle="1" w:styleId="En-tteCar">
    <w:name w:val="En-tête Car"/>
    <w:basedOn w:val="Policepardfaut"/>
    <w:link w:val="En-tte"/>
    <w:uiPriority w:val="99"/>
    <w:rsid w:val="00A5438F"/>
  </w:style>
  <w:style w:type="paragraph" w:styleId="Pieddepage">
    <w:name w:val="footer"/>
    <w:basedOn w:val="Normal"/>
    <w:link w:val="PieddepageCar"/>
    <w:uiPriority w:val="99"/>
    <w:unhideWhenUsed/>
    <w:rsid w:val="00A543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Colinet</dc:creator>
  <cp:keywords/>
  <dc:description/>
  <cp:lastModifiedBy>Laurence Colinet</cp:lastModifiedBy>
  <cp:revision>27</cp:revision>
  <dcterms:created xsi:type="dcterms:W3CDTF">2019-11-28T09:13:00Z</dcterms:created>
  <dcterms:modified xsi:type="dcterms:W3CDTF">2019-12-10T14:16:00Z</dcterms:modified>
</cp:coreProperties>
</file>