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5B" w:rsidRPr="00B5785B" w:rsidRDefault="00B5785B" w:rsidP="00B5785B">
      <w:pPr>
        <w:pStyle w:val="Titre1"/>
        <w:jc w:val="center"/>
        <w:rPr>
          <w:color w:val="FF0000"/>
        </w:rPr>
      </w:pPr>
      <w:r w:rsidRPr="00B5785B">
        <w:rPr>
          <w:color w:val="FF0000"/>
        </w:rPr>
        <w:t>Catégorie Capital social :</w:t>
      </w:r>
    </w:p>
    <w:p w:rsidR="00B5785B" w:rsidRDefault="00B5785B" w:rsidP="00B5785B"/>
    <w:p w:rsidR="00B5785B" w:rsidRPr="00B5785B" w:rsidRDefault="00B5785B" w:rsidP="001E3E1C">
      <w:pPr>
        <w:jc w:val="both"/>
      </w:pPr>
      <w:r>
        <w:t>Dans ce sens, nous chercherons à prendre en compte les impacts de la recherche sur les capacités d’action collective, et sur les apprentissages collectifs. Il peut s’agir de la contribution à la mise en place de nouvelles organisations, de nouvelles formes de gouvernance multi-acteurs, le dépassement de conflits Nous distinguerons dans l’analyse les relations à l’intérieur des organisations, les alliances entre organisations, la consolidation d’une communauté et la création de liens avec d’autres communautés, qui pourra s’accompagner d’un changement de nature des relations précédemment établies.</w:t>
      </w:r>
    </w:p>
    <w:p w:rsidR="00B5785B" w:rsidRPr="00B5785B" w:rsidRDefault="00B5785B" w:rsidP="00B5785B">
      <w:r>
        <w:t>Nous proposons de distinguer les s</w:t>
      </w:r>
      <w:r w:rsidRPr="00B5785B">
        <w:t>ous-catégories</w:t>
      </w:r>
      <w:r>
        <w:t xml:space="preserve"> suivantes</w:t>
      </w:r>
      <w:r w:rsidRPr="00B5785B">
        <w:t> :</w:t>
      </w:r>
    </w:p>
    <w:p w:rsidR="00B5785B" w:rsidRPr="00B5785B" w:rsidRDefault="00B5785B" w:rsidP="00B5785B">
      <w:pPr>
        <w:numPr>
          <w:ilvl w:val="0"/>
          <w:numId w:val="1"/>
        </w:numPr>
      </w:pPr>
      <w:r w:rsidRPr="00B5785B">
        <w:t>Qualité de dialogue, dépassement de conflits</w:t>
      </w:r>
    </w:p>
    <w:p w:rsidR="00B5785B" w:rsidRPr="000C62C7" w:rsidRDefault="00B5785B" w:rsidP="00B5785B">
      <w:pPr>
        <w:numPr>
          <w:ilvl w:val="0"/>
          <w:numId w:val="1"/>
        </w:numPr>
      </w:pPr>
      <w:r w:rsidRPr="000C62C7">
        <w:t xml:space="preserve">Apprentissages collectifs, évolution des représentations </w:t>
      </w:r>
      <w:r w:rsidR="000C62C7">
        <w:t>à l’échelle de la société</w:t>
      </w:r>
    </w:p>
    <w:p w:rsidR="00B5785B" w:rsidRPr="00B5785B" w:rsidRDefault="00B5785B" w:rsidP="00B5785B">
      <w:pPr>
        <w:numPr>
          <w:ilvl w:val="0"/>
          <w:numId w:val="1"/>
        </w:numPr>
      </w:pPr>
      <w:r w:rsidRPr="00B5785B">
        <w:t>Gouvernance : Consolidation d’une institution, diversité des représentations (inclusion, multi-acteurs, ou en négatif exclusion)</w:t>
      </w:r>
    </w:p>
    <w:p w:rsidR="00B5785B" w:rsidRPr="00B5785B" w:rsidRDefault="00B5785B" w:rsidP="00B5785B">
      <w:pPr>
        <w:numPr>
          <w:ilvl w:val="0"/>
          <w:numId w:val="1"/>
        </w:numPr>
      </w:pPr>
      <w:r w:rsidRPr="00B5785B">
        <w:t xml:space="preserve">Capacités d’action collective </w:t>
      </w:r>
      <w:r w:rsidR="000C62C7">
        <w:t xml:space="preserve">notamment </w:t>
      </w:r>
      <w:r w:rsidRPr="00B5785B">
        <w:t xml:space="preserve">par des alliances entre organisations </w:t>
      </w:r>
    </w:p>
    <w:p w:rsidR="00115287" w:rsidRDefault="00B5785B" w:rsidP="001E3E1C">
      <w:pPr>
        <w:numPr>
          <w:ilvl w:val="0"/>
          <w:numId w:val="1"/>
        </w:numPr>
      </w:pPr>
      <w:r w:rsidRPr="00B5785B">
        <w:t xml:space="preserve">Liens social de proximité, renforcement d’une communauté </w:t>
      </w:r>
    </w:p>
    <w:p w:rsidR="00275B7E" w:rsidRDefault="00275B7E">
      <w:r>
        <w:br w:type="page"/>
      </w:r>
    </w:p>
    <w:p w:rsidR="00A14BBE" w:rsidRPr="00B5785B" w:rsidRDefault="00A14BBE" w:rsidP="00A14BBE">
      <w:pPr>
        <w:ind w:left="360"/>
      </w:pPr>
    </w:p>
    <w:p w:rsidR="00115287" w:rsidRDefault="00115287" w:rsidP="00115287">
      <w:pPr>
        <w:pStyle w:val="Titre1"/>
      </w:pPr>
      <w:r>
        <w:t xml:space="preserve">Sous-catégorie : </w:t>
      </w:r>
      <w:r w:rsidRPr="00115287">
        <w:t>Qualité de dialogue, dépassement de conflits</w:t>
      </w:r>
    </w:p>
    <w:p w:rsidR="00A14BBE" w:rsidRPr="00A14BBE" w:rsidRDefault="00A14BBE" w:rsidP="00A14BB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950"/>
        <w:gridCol w:w="1259"/>
        <w:gridCol w:w="1693"/>
        <w:gridCol w:w="1662"/>
        <w:gridCol w:w="1662"/>
        <w:gridCol w:w="1662"/>
      </w:tblGrid>
      <w:tr w:rsidR="00AE627E" w:rsidRPr="00A14BBE" w:rsidTr="00A14BBE">
        <w:tc>
          <w:tcPr>
            <w:tcW w:w="1413" w:type="dxa"/>
          </w:tcPr>
          <w:p w:rsidR="00AE627E" w:rsidRPr="00A14BBE" w:rsidRDefault="00AE627E" w:rsidP="00A14BBE">
            <w:pPr>
              <w:spacing w:after="160" w:line="259" w:lineRule="auto"/>
            </w:pPr>
            <w:r w:rsidRPr="00A14BBE">
              <w:t>Etude de cas</w:t>
            </w:r>
          </w:p>
        </w:tc>
        <w:tc>
          <w:tcPr>
            <w:tcW w:w="2950" w:type="dxa"/>
          </w:tcPr>
          <w:p w:rsidR="00AE627E" w:rsidRPr="00A14BBE" w:rsidRDefault="00AE627E" w:rsidP="00A14BBE">
            <w:pPr>
              <w:spacing w:after="160" w:line="259" w:lineRule="auto"/>
            </w:pPr>
            <w:r w:rsidRPr="00A14BBE">
              <w:t>descripteurs</w:t>
            </w:r>
          </w:p>
        </w:tc>
        <w:tc>
          <w:tcPr>
            <w:tcW w:w="1259" w:type="dxa"/>
          </w:tcPr>
          <w:p w:rsidR="00AE627E" w:rsidRPr="00A14BBE" w:rsidRDefault="00AE627E" w:rsidP="00A14BBE">
            <w:r>
              <w:t>Note</w:t>
            </w:r>
          </w:p>
        </w:tc>
        <w:tc>
          <w:tcPr>
            <w:tcW w:w="1693" w:type="dxa"/>
          </w:tcPr>
          <w:p w:rsidR="00AE627E" w:rsidRPr="00A14BBE" w:rsidRDefault="00AE627E" w:rsidP="00A14BBE">
            <w:r>
              <w:t>commentaire</w:t>
            </w:r>
          </w:p>
        </w:tc>
        <w:tc>
          <w:tcPr>
            <w:tcW w:w="1662" w:type="dxa"/>
          </w:tcPr>
          <w:p w:rsidR="00AE627E" w:rsidRDefault="00AE627E" w:rsidP="00A14BBE">
            <w:r>
              <w:t>Quelle information vous aurait permis de consolider votre notation ?</w:t>
            </w:r>
          </w:p>
        </w:tc>
        <w:tc>
          <w:tcPr>
            <w:tcW w:w="1662" w:type="dxa"/>
          </w:tcPr>
          <w:p w:rsidR="00AE627E" w:rsidRDefault="00AE627E" w:rsidP="00A14BBE">
            <w:r>
              <w:t>Qu’est ce qui aurait justifié une note supérieure ?</w:t>
            </w:r>
          </w:p>
        </w:tc>
        <w:tc>
          <w:tcPr>
            <w:tcW w:w="1662" w:type="dxa"/>
          </w:tcPr>
          <w:p w:rsidR="00AE627E" w:rsidRDefault="00AE627E" w:rsidP="00A14BBE">
            <w:r>
              <w:t>Qu’est-ce qui aurait justifié une note inférieure ?</w:t>
            </w:r>
          </w:p>
        </w:tc>
      </w:tr>
      <w:tr w:rsidR="00AE627E" w:rsidRPr="00A14BBE" w:rsidTr="00A14BBE">
        <w:tc>
          <w:tcPr>
            <w:tcW w:w="1413" w:type="dxa"/>
          </w:tcPr>
          <w:p w:rsidR="00AE627E" w:rsidRPr="00A14BBE" w:rsidRDefault="00AE627E" w:rsidP="00A14BBE">
            <w:pPr>
              <w:spacing w:after="160" w:line="259" w:lineRule="auto"/>
            </w:pPr>
            <w:r w:rsidRPr="00A14BBE">
              <w:t>TAC saumon</w:t>
            </w:r>
          </w:p>
        </w:tc>
        <w:tc>
          <w:tcPr>
            <w:tcW w:w="2950" w:type="dxa"/>
          </w:tcPr>
          <w:p w:rsidR="00AE627E" w:rsidRPr="00A14BBE" w:rsidRDefault="00AE627E" w:rsidP="00A14BBE">
            <w:pPr>
              <w:spacing w:after="160" w:line="259" w:lineRule="auto"/>
            </w:pPr>
            <w:r w:rsidRPr="00A14BBE">
              <w:t>contribution à la résolution de conflits opposant administrations, représentants de pêcheurs, collectivités territoriales, et associations environnementales s’intéressant aux poissons migrateurs</w:t>
            </w:r>
          </w:p>
        </w:tc>
        <w:tc>
          <w:tcPr>
            <w:tcW w:w="1259" w:type="dxa"/>
          </w:tcPr>
          <w:p w:rsidR="00AE627E" w:rsidRPr="00A14BBE" w:rsidRDefault="00AE627E" w:rsidP="00A14BBE"/>
        </w:tc>
        <w:tc>
          <w:tcPr>
            <w:tcW w:w="1693" w:type="dxa"/>
          </w:tcPr>
          <w:p w:rsidR="00AE627E" w:rsidRPr="00A14BBE" w:rsidRDefault="00AE627E" w:rsidP="00A14BBE"/>
        </w:tc>
        <w:tc>
          <w:tcPr>
            <w:tcW w:w="1662" w:type="dxa"/>
          </w:tcPr>
          <w:p w:rsidR="00AE627E" w:rsidRPr="00A14BBE" w:rsidRDefault="00AE627E" w:rsidP="00A14BBE"/>
        </w:tc>
        <w:tc>
          <w:tcPr>
            <w:tcW w:w="1662" w:type="dxa"/>
          </w:tcPr>
          <w:p w:rsidR="00AE627E" w:rsidRPr="00A14BBE" w:rsidRDefault="00AE627E" w:rsidP="00A14BBE"/>
        </w:tc>
        <w:tc>
          <w:tcPr>
            <w:tcW w:w="1662" w:type="dxa"/>
          </w:tcPr>
          <w:p w:rsidR="00AE627E" w:rsidRPr="00A14BBE" w:rsidRDefault="00AE627E" w:rsidP="00A14BBE"/>
        </w:tc>
      </w:tr>
      <w:tr w:rsidR="00AE627E" w:rsidRPr="00A14BBE" w:rsidTr="00A14BBE">
        <w:tc>
          <w:tcPr>
            <w:tcW w:w="1413" w:type="dxa"/>
          </w:tcPr>
          <w:p w:rsidR="00AE627E" w:rsidRPr="00A14BBE" w:rsidRDefault="00AE627E" w:rsidP="00A14BBE">
            <w:pPr>
              <w:spacing w:after="160" w:line="259" w:lineRule="auto"/>
            </w:pPr>
            <w:r w:rsidRPr="00A14BBE">
              <w:t xml:space="preserve">Abeilles </w:t>
            </w:r>
          </w:p>
        </w:tc>
        <w:tc>
          <w:tcPr>
            <w:tcW w:w="2950" w:type="dxa"/>
          </w:tcPr>
          <w:p w:rsidR="00AE627E" w:rsidRPr="00A14BBE" w:rsidRDefault="00AE627E" w:rsidP="00A14BBE">
            <w:pPr>
              <w:spacing w:after="160" w:line="259" w:lineRule="auto"/>
            </w:pPr>
            <w:r w:rsidRPr="00A14BBE">
              <w:t>contribution à la résolution d’un conflit durables entre apiculteurs et production céréalière intensive</w:t>
            </w:r>
          </w:p>
        </w:tc>
        <w:tc>
          <w:tcPr>
            <w:tcW w:w="1259" w:type="dxa"/>
          </w:tcPr>
          <w:p w:rsidR="00AE627E" w:rsidRPr="00A14BBE" w:rsidRDefault="00AE627E" w:rsidP="00A14BBE"/>
        </w:tc>
        <w:tc>
          <w:tcPr>
            <w:tcW w:w="1693" w:type="dxa"/>
          </w:tcPr>
          <w:p w:rsidR="00AE627E" w:rsidRPr="00A14BBE" w:rsidRDefault="00AE627E" w:rsidP="00A14BBE"/>
        </w:tc>
        <w:tc>
          <w:tcPr>
            <w:tcW w:w="1662" w:type="dxa"/>
          </w:tcPr>
          <w:p w:rsidR="00AE627E" w:rsidRPr="00A14BBE" w:rsidRDefault="00AE627E" w:rsidP="00A14BBE"/>
        </w:tc>
        <w:tc>
          <w:tcPr>
            <w:tcW w:w="1662" w:type="dxa"/>
          </w:tcPr>
          <w:p w:rsidR="00AE627E" w:rsidRPr="00A14BBE" w:rsidRDefault="00AE627E" w:rsidP="00A14BBE"/>
        </w:tc>
        <w:tc>
          <w:tcPr>
            <w:tcW w:w="1662" w:type="dxa"/>
          </w:tcPr>
          <w:p w:rsidR="00AE627E" w:rsidRPr="00A14BBE" w:rsidRDefault="00AE627E" w:rsidP="00A14BBE"/>
        </w:tc>
      </w:tr>
      <w:tr w:rsidR="00AE627E" w:rsidRPr="00A14BBE" w:rsidTr="00A14BBE">
        <w:tc>
          <w:tcPr>
            <w:tcW w:w="1413" w:type="dxa"/>
          </w:tcPr>
          <w:p w:rsidR="00AE627E" w:rsidRPr="00A14BBE" w:rsidRDefault="00AE627E" w:rsidP="00A14BBE">
            <w:pPr>
              <w:spacing w:after="160" w:line="259" w:lineRule="auto"/>
            </w:pPr>
            <w:r w:rsidRPr="00A14BBE">
              <w:t>Prairies fleuries</w:t>
            </w:r>
          </w:p>
        </w:tc>
        <w:tc>
          <w:tcPr>
            <w:tcW w:w="2950" w:type="dxa"/>
          </w:tcPr>
          <w:p w:rsidR="00FF08CC" w:rsidRDefault="00FF08CC" w:rsidP="00FF08CC">
            <w:r>
              <w:t xml:space="preserve">Amélioration des conditions du dialogue sur les mesures </w:t>
            </w:r>
            <w:proofErr w:type="spellStart"/>
            <w:r>
              <w:t>agri-environnementales</w:t>
            </w:r>
            <w:proofErr w:type="spellEnd"/>
            <w:r>
              <w:t xml:space="preserve"> dans le PNR Massif des Bauges.</w:t>
            </w:r>
          </w:p>
          <w:p w:rsidR="00AE627E" w:rsidRPr="00A14BBE" w:rsidRDefault="00FF08CC" w:rsidP="00FF08CC">
            <w:pPr>
              <w:spacing w:after="160" w:line="259" w:lineRule="auto"/>
            </w:pPr>
            <w:r>
              <w:t xml:space="preserve">Plus généralement, amélioration de la perception des liens entre agriculture et </w:t>
            </w:r>
            <w:r>
              <w:lastRenderedPageBreak/>
              <w:t xml:space="preserve">biodiversité, à la fois du point de vue des agriculteurs et des autres acteurs sociaux. Contribution à la diminution des tensions sur les liens entre agriculture et environnement et à une meilleure acceptation des mesures </w:t>
            </w:r>
            <w:proofErr w:type="spellStart"/>
            <w:r>
              <w:t>agri-environnementales</w:t>
            </w:r>
            <w:proofErr w:type="spellEnd"/>
            <w:r>
              <w:t xml:space="preserve"> (MAE et BCAE).</w:t>
            </w:r>
            <w:r w:rsidR="00AE627E" w:rsidRPr="00A14BBE">
              <w:t xml:space="preserve"> </w:t>
            </w:r>
          </w:p>
        </w:tc>
        <w:tc>
          <w:tcPr>
            <w:tcW w:w="1259" w:type="dxa"/>
          </w:tcPr>
          <w:p w:rsidR="00AE627E" w:rsidRPr="00A14BBE" w:rsidRDefault="00AE627E" w:rsidP="00A14BBE"/>
        </w:tc>
        <w:tc>
          <w:tcPr>
            <w:tcW w:w="1693" w:type="dxa"/>
          </w:tcPr>
          <w:p w:rsidR="00AE627E" w:rsidRPr="00A14BBE" w:rsidRDefault="00AE627E" w:rsidP="00A14BBE"/>
        </w:tc>
        <w:tc>
          <w:tcPr>
            <w:tcW w:w="1662" w:type="dxa"/>
          </w:tcPr>
          <w:p w:rsidR="00AE627E" w:rsidRPr="00A14BBE" w:rsidRDefault="00AE627E" w:rsidP="00A14BBE"/>
        </w:tc>
        <w:tc>
          <w:tcPr>
            <w:tcW w:w="1662" w:type="dxa"/>
          </w:tcPr>
          <w:p w:rsidR="00AE627E" w:rsidRPr="00A14BBE" w:rsidRDefault="00AE627E" w:rsidP="00A14BBE"/>
        </w:tc>
        <w:tc>
          <w:tcPr>
            <w:tcW w:w="1662" w:type="dxa"/>
          </w:tcPr>
          <w:p w:rsidR="00AE627E" w:rsidRPr="00A14BBE" w:rsidRDefault="00AE627E" w:rsidP="00A14BBE"/>
        </w:tc>
      </w:tr>
    </w:tbl>
    <w:p w:rsidR="00275B7E" w:rsidRDefault="00275B7E" w:rsidP="00275B7E">
      <w:r>
        <w:br w:type="page"/>
      </w:r>
    </w:p>
    <w:p w:rsidR="00115287" w:rsidRPr="00115287" w:rsidRDefault="00115287" w:rsidP="00115287"/>
    <w:p w:rsidR="00115287" w:rsidRDefault="00115287" w:rsidP="00115287">
      <w:pPr>
        <w:pStyle w:val="Titre1"/>
      </w:pPr>
      <w:r>
        <w:t xml:space="preserve">Sous-catégorie : </w:t>
      </w:r>
      <w:r w:rsidRPr="00115287">
        <w:t xml:space="preserve">Apprentissages collectifs, évolution des représentations </w:t>
      </w:r>
    </w:p>
    <w:p w:rsidR="00AE627E" w:rsidRPr="00AE627E" w:rsidRDefault="00AE627E" w:rsidP="00AE627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950"/>
        <w:gridCol w:w="1259"/>
        <w:gridCol w:w="1693"/>
        <w:gridCol w:w="1662"/>
        <w:gridCol w:w="1662"/>
        <w:gridCol w:w="1662"/>
      </w:tblGrid>
      <w:tr w:rsidR="00FF08CC" w:rsidRPr="00A14BBE" w:rsidTr="00B04F81">
        <w:tc>
          <w:tcPr>
            <w:tcW w:w="1413" w:type="dxa"/>
          </w:tcPr>
          <w:p w:rsidR="00FF08CC" w:rsidRPr="00A14BBE" w:rsidRDefault="00FF08CC" w:rsidP="00B04F81">
            <w:pPr>
              <w:spacing w:after="160" w:line="259" w:lineRule="auto"/>
            </w:pPr>
            <w:r w:rsidRPr="00A14BBE">
              <w:t>Etude de cas</w:t>
            </w:r>
          </w:p>
        </w:tc>
        <w:tc>
          <w:tcPr>
            <w:tcW w:w="2950" w:type="dxa"/>
          </w:tcPr>
          <w:p w:rsidR="00FF08CC" w:rsidRPr="00A14BBE" w:rsidRDefault="00FF08CC" w:rsidP="00B04F81">
            <w:pPr>
              <w:spacing w:after="160" w:line="259" w:lineRule="auto"/>
            </w:pPr>
            <w:r w:rsidRPr="00A14BBE">
              <w:t>descripteurs</w:t>
            </w:r>
          </w:p>
        </w:tc>
        <w:tc>
          <w:tcPr>
            <w:tcW w:w="1259" w:type="dxa"/>
          </w:tcPr>
          <w:p w:rsidR="00FF08CC" w:rsidRPr="00A14BBE" w:rsidRDefault="00FF08CC" w:rsidP="00B04F81">
            <w:r>
              <w:t>Note</w:t>
            </w:r>
          </w:p>
        </w:tc>
        <w:tc>
          <w:tcPr>
            <w:tcW w:w="1693" w:type="dxa"/>
          </w:tcPr>
          <w:p w:rsidR="00FF08CC" w:rsidRPr="00A14BBE" w:rsidRDefault="00FF08CC" w:rsidP="00B04F81">
            <w:r>
              <w:t>commentaire</w:t>
            </w:r>
          </w:p>
        </w:tc>
        <w:tc>
          <w:tcPr>
            <w:tcW w:w="1662" w:type="dxa"/>
          </w:tcPr>
          <w:p w:rsidR="00FF08CC" w:rsidRDefault="00FF08CC" w:rsidP="00B04F81">
            <w:r>
              <w:t>Quelle information vous aurait permis de consolider votre notation ?</w:t>
            </w:r>
          </w:p>
        </w:tc>
        <w:tc>
          <w:tcPr>
            <w:tcW w:w="1662" w:type="dxa"/>
          </w:tcPr>
          <w:p w:rsidR="00FF08CC" w:rsidRDefault="00FF08CC" w:rsidP="00B04F81">
            <w:r>
              <w:t>Qu’est ce qui aurait justifié une note supérieure ?</w:t>
            </w:r>
          </w:p>
        </w:tc>
        <w:tc>
          <w:tcPr>
            <w:tcW w:w="1662" w:type="dxa"/>
          </w:tcPr>
          <w:p w:rsidR="00FF08CC" w:rsidRDefault="00FF08CC" w:rsidP="00B04F81">
            <w:r>
              <w:t>Qu’est-ce qui aurait justifié une note inférieure ?</w:t>
            </w:r>
          </w:p>
        </w:tc>
      </w:tr>
      <w:tr w:rsidR="00FF08CC" w:rsidRPr="00A14BBE" w:rsidTr="00B04F81">
        <w:tc>
          <w:tcPr>
            <w:tcW w:w="1413" w:type="dxa"/>
          </w:tcPr>
          <w:p w:rsidR="00FF08CC" w:rsidRPr="00A14BBE" w:rsidRDefault="00FF08CC" w:rsidP="00B04F81">
            <w:r>
              <w:t>Prairies-fleuries</w:t>
            </w:r>
          </w:p>
        </w:tc>
        <w:tc>
          <w:tcPr>
            <w:tcW w:w="2950" w:type="dxa"/>
          </w:tcPr>
          <w:p w:rsidR="00FF08CC" w:rsidRDefault="00FF08CC" w:rsidP="00FF08CC">
            <w:r>
              <w:t>Changement de représentation de la diversité biologique dans les prairies</w:t>
            </w:r>
          </w:p>
          <w:p w:rsidR="00FF08CC" w:rsidRPr="00A14BBE" w:rsidRDefault="00FF08CC" w:rsidP="00FF08CC">
            <w:r>
              <w:t>Pour les MAE, passage d’obligation de moyens à des obligations de résultat basées sur des méthodes d’évaluation simples et facilement appropriables</w:t>
            </w:r>
          </w:p>
        </w:tc>
        <w:tc>
          <w:tcPr>
            <w:tcW w:w="1259" w:type="dxa"/>
          </w:tcPr>
          <w:p w:rsidR="00FF08CC" w:rsidRDefault="00FF08CC" w:rsidP="00B04F81"/>
        </w:tc>
        <w:tc>
          <w:tcPr>
            <w:tcW w:w="1693" w:type="dxa"/>
          </w:tcPr>
          <w:p w:rsidR="00FF08CC" w:rsidRDefault="00FF08CC" w:rsidP="00B04F81"/>
        </w:tc>
        <w:tc>
          <w:tcPr>
            <w:tcW w:w="1662" w:type="dxa"/>
          </w:tcPr>
          <w:p w:rsidR="00FF08CC" w:rsidRDefault="00FF08CC" w:rsidP="00B04F81"/>
        </w:tc>
        <w:tc>
          <w:tcPr>
            <w:tcW w:w="1662" w:type="dxa"/>
          </w:tcPr>
          <w:p w:rsidR="00FF08CC" w:rsidRDefault="00FF08CC" w:rsidP="00B04F81"/>
        </w:tc>
        <w:tc>
          <w:tcPr>
            <w:tcW w:w="1662" w:type="dxa"/>
          </w:tcPr>
          <w:p w:rsidR="00FF08CC" w:rsidRDefault="00FF08CC" w:rsidP="00B04F81"/>
        </w:tc>
      </w:tr>
      <w:tr w:rsidR="000C62C7" w:rsidRPr="00A14BBE" w:rsidTr="00B04F81">
        <w:tc>
          <w:tcPr>
            <w:tcW w:w="1413" w:type="dxa"/>
          </w:tcPr>
          <w:p w:rsidR="000C62C7" w:rsidRDefault="000C62C7" w:rsidP="00B04F81">
            <w:proofErr w:type="spellStart"/>
            <w:r>
              <w:t>Odomatrix</w:t>
            </w:r>
            <w:proofErr w:type="spellEnd"/>
          </w:p>
        </w:tc>
        <w:tc>
          <w:tcPr>
            <w:tcW w:w="2950" w:type="dxa"/>
          </w:tcPr>
          <w:p w:rsidR="000C62C7" w:rsidRDefault="000C62C7" w:rsidP="00FF08CC">
            <w:r w:rsidRPr="000C62C7">
              <w:t xml:space="preserve">« Hyper-ruralité » : appui à la représentation par le politique du concept l’hyper-ruralité, qui correspond à la ruralité de l’éloignement : éloignement des individus entre eux (faible densité de population), éloignement des services du quotidien (transports, enseignement, santé) et éloignement des bassins d’emploi (centralités, agglomération, métropole). </w:t>
            </w:r>
            <w:r w:rsidRPr="000C62C7">
              <w:lastRenderedPageBreak/>
              <w:t>Elle représente 26 % du territoire national, soit 250 bassins de vie habités par 3,4 millions de Français, et concerne des départements entiers.</w:t>
            </w:r>
          </w:p>
        </w:tc>
        <w:tc>
          <w:tcPr>
            <w:tcW w:w="1259" w:type="dxa"/>
          </w:tcPr>
          <w:p w:rsidR="000C62C7" w:rsidRDefault="000C62C7" w:rsidP="00B04F81"/>
        </w:tc>
        <w:tc>
          <w:tcPr>
            <w:tcW w:w="1693" w:type="dxa"/>
          </w:tcPr>
          <w:p w:rsidR="000C62C7" w:rsidRDefault="000C62C7" w:rsidP="00B04F81"/>
        </w:tc>
        <w:tc>
          <w:tcPr>
            <w:tcW w:w="1662" w:type="dxa"/>
          </w:tcPr>
          <w:p w:rsidR="000C62C7" w:rsidRDefault="000C62C7" w:rsidP="00B04F81"/>
        </w:tc>
        <w:tc>
          <w:tcPr>
            <w:tcW w:w="1662" w:type="dxa"/>
          </w:tcPr>
          <w:p w:rsidR="000C62C7" w:rsidRDefault="000C62C7" w:rsidP="00B04F81"/>
        </w:tc>
        <w:tc>
          <w:tcPr>
            <w:tcW w:w="1662" w:type="dxa"/>
          </w:tcPr>
          <w:p w:rsidR="000C62C7" w:rsidRDefault="000C62C7" w:rsidP="00B04F81"/>
        </w:tc>
      </w:tr>
    </w:tbl>
    <w:p w:rsidR="00115287" w:rsidRDefault="00115287" w:rsidP="00115287"/>
    <w:p w:rsidR="00275B7E" w:rsidRDefault="00275B7E">
      <w:r>
        <w:br w:type="page"/>
      </w:r>
    </w:p>
    <w:p w:rsidR="00275B7E" w:rsidRPr="00115287" w:rsidRDefault="00275B7E" w:rsidP="00115287"/>
    <w:p w:rsidR="00115287" w:rsidRDefault="00115287" w:rsidP="00115287">
      <w:pPr>
        <w:pStyle w:val="Titre1"/>
      </w:pPr>
      <w:r>
        <w:t xml:space="preserve">Sous-catégorie : </w:t>
      </w:r>
      <w:r w:rsidRPr="00115287">
        <w:t>Gouvernance : Consolidation d’une institution, diversité des représentations (inclusion, multi-acteurs, ou en négatif exclusion)</w:t>
      </w:r>
    </w:p>
    <w:p w:rsidR="00AE627E" w:rsidRPr="00AE627E" w:rsidRDefault="00AE627E" w:rsidP="00AE627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949"/>
        <w:gridCol w:w="1693"/>
        <w:gridCol w:w="2036"/>
        <w:gridCol w:w="1984"/>
        <w:gridCol w:w="2552"/>
      </w:tblGrid>
      <w:tr w:rsidR="00AE627E" w:rsidRPr="00A14BBE" w:rsidTr="00D05366">
        <w:tc>
          <w:tcPr>
            <w:tcW w:w="1413" w:type="dxa"/>
          </w:tcPr>
          <w:p w:rsidR="00AE627E" w:rsidRPr="00A14BBE" w:rsidRDefault="00AE627E" w:rsidP="00B04F81">
            <w:pPr>
              <w:spacing w:after="160" w:line="259" w:lineRule="auto"/>
            </w:pPr>
            <w:r w:rsidRPr="00A14BBE">
              <w:t>Etude de cas</w:t>
            </w:r>
          </w:p>
        </w:tc>
        <w:tc>
          <w:tcPr>
            <w:tcW w:w="3260" w:type="dxa"/>
          </w:tcPr>
          <w:p w:rsidR="00AE627E" w:rsidRPr="00A14BBE" w:rsidRDefault="00AE627E" w:rsidP="00B04F81">
            <w:pPr>
              <w:spacing w:after="160" w:line="259" w:lineRule="auto"/>
            </w:pPr>
            <w:r w:rsidRPr="00A14BBE">
              <w:t>descripteurs</w:t>
            </w:r>
          </w:p>
        </w:tc>
        <w:tc>
          <w:tcPr>
            <w:tcW w:w="949" w:type="dxa"/>
          </w:tcPr>
          <w:p w:rsidR="00AE627E" w:rsidRPr="00A14BBE" w:rsidRDefault="00AE627E" w:rsidP="00B04F81">
            <w:r>
              <w:t>Note</w:t>
            </w:r>
          </w:p>
        </w:tc>
        <w:tc>
          <w:tcPr>
            <w:tcW w:w="1693" w:type="dxa"/>
          </w:tcPr>
          <w:p w:rsidR="00AE627E" w:rsidRPr="00A14BBE" w:rsidRDefault="00AE627E" w:rsidP="00B04F81">
            <w:r>
              <w:t>commentaire</w:t>
            </w:r>
          </w:p>
        </w:tc>
        <w:tc>
          <w:tcPr>
            <w:tcW w:w="2036" w:type="dxa"/>
          </w:tcPr>
          <w:p w:rsidR="00AE627E" w:rsidRDefault="00AE627E" w:rsidP="00B04F81">
            <w:r>
              <w:t>Quelle information vous aurait permis de consolider votre notation ?</w:t>
            </w:r>
          </w:p>
        </w:tc>
        <w:tc>
          <w:tcPr>
            <w:tcW w:w="1984" w:type="dxa"/>
          </w:tcPr>
          <w:p w:rsidR="00AE627E" w:rsidRDefault="00AE627E" w:rsidP="00B04F81">
            <w:r>
              <w:t>Qu’est ce qui aurait justifié une note supérieure ?</w:t>
            </w:r>
          </w:p>
        </w:tc>
        <w:tc>
          <w:tcPr>
            <w:tcW w:w="2552" w:type="dxa"/>
          </w:tcPr>
          <w:p w:rsidR="00AE627E" w:rsidRDefault="00AE627E" w:rsidP="00B04F81">
            <w:r>
              <w:t>Qu’est-ce qui aurait justifié une note inférieure ?</w:t>
            </w:r>
          </w:p>
        </w:tc>
      </w:tr>
      <w:tr w:rsidR="00AE627E" w:rsidRPr="00A14BBE" w:rsidTr="00D05366">
        <w:tc>
          <w:tcPr>
            <w:tcW w:w="1413" w:type="dxa"/>
          </w:tcPr>
          <w:p w:rsidR="00AE627E" w:rsidRPr="00A14BBE" w:rsidRDefault="00AE627E" w:rsidP="00B04F81">
            <w:pPr>
              <w:spacing w:after="160" w:line="259" w:lineRule="auto"/>
              <w:rPr>
                <w:lang w:val="en-US"/>
              </w:rPr>
            </w:pPr>
            <w:proofErr w:type="spellStart"/>
            <w:r w:rsidRPr="00A14BBE">
              <w:rPr>
                <w:lang w:val="en-US"/>
              </w:rPr>
              <w:t>Ici.C.Local</w:t>
            </w:r>
            <w:proofErr w:type="spellEnd"/>
          </w:p>
        </w:tc>
        <w:tc>
          <w:tcPr>
            <w:tcW w:w="3260" w:type="dxa"/>
          </w:tcPr>
          <w:p w:rsidR="00AE627E" w:rsidRDefault="001C5DEF" w:rsidP="00B04F81">
            <w:pPr>
              <w:spacing w:after="160" w:line="259" w:lineRule="auto"/>
            </w:pPr>
            <w:r w:rsidRPr="001C5DEF">
              <w:t>Renforcement des relations de coopération entre producteurs et intermédiaires pour la revente ou la transformation de produits de l’agriculture locale et durable</w:t>
            </w:r>
          </w:p>
          <w:p w:rsidR="001C5DEF" w:rsidRPr="00A14BBE" w:rsidRDefault="001C5DEF" w:rsidP="001C5DEF">
            <w:pPr>
              <w:spacing w:after="160" w:line="259" w:lineRule="auto"/>
            </w:pPr>
            <w:r w:rsidRPr="001C5DEF">
              <w:t>Mise en œuvre d’un nouveau modèle de gouvernance pour les circuits courts : qui promeut la transparence vis-à-vis du consommateur, la coopération, le développement de l’économie locale et la participation des citoyens à l'évolution des systèmes alimentaires, permettant des apprentissages, en interne et avec les acteurs extérieurs, à même de former des « communautés » de soutien.</w:t>
            </w:r>
          </w:p>
        </w:tc>
        <w:tc>
          <w:tcPr>
            <w:tcW w:w="949" w:type="dxa"/>
          </w:tcPr>
          <w:p w:rsidR="00AE627E" w:rsidRPr="00A14BBE" w:rsidRDefault="00AE627E" w:rsidP="00B04F81"/>
        </w:tc>
        <w:tc>
          <w:tcPr>
            <w:tcW w:w="1693" w:type="dxa"/>
          </w:tcPr>
          <w:p w:rsidR="00AE627E" w:rsidRPr="00A14BBE" w:rsidRDefault="00AE627E" w:rsidP="00B04F81"/>
        </w:tc>
        <w:tc>
          <w:tcPr>
            <w:tcW w:w="2036" w:type="dxa"/>
          </w:tcPr>
          <w:p w:rsidR="00AE627E" w:rsidRPr="00A14BBE" w:rsidRDefault="00AE627E" w:rsidP="00B04F81"/>
        </w:tc>
        <w:tc>
          <w:tcPr>
            <w:tcW w:w="1984" w:type="dxa"/>
          </w:tcPr>
          <w:p w:rsidR="00AE627E" w:rsidRPr="00A14BBE" w:rsidRDefault="00AE627E" w:rsidP="00B04F81"/>
        </w:tc>
        <w:tc>
          <w:tcPr>
            <w:tcW w:w="2552" w:type="dxa"/>
          </w:tcPr>
          <w:p w:rsidR="00AE627E" w:rsidRPr="00A14BBE" w:rsidRDefault="00AE627E" w:rsidP="00B04F81"/>
        </w:tc>
      </w:tr>
      <w:tr w:rsidR="001C06B6" w:rsidRPr="00A14BBE" w:rsidTr="00D05366">
        <w:tc>
          <w:tcPr>
            <w:tcW w:w="1413" w:type="dxa"/>
          </w:tcPr>
          <w:p w:rsidR="001C06B6" w:rsidRDefault="001C06B6" w:rsidP="00B04F81">
            <w:pPr>
              <w:rPr>
                <w:lang w:val="en-US"/>
              </w:rPr>
            </w:pPr>
            <w:r>
              <w:rPr>
                <w:lang w:val="en-US"/>
              </w:rPr>
              <w:t xml:space="preserve">Prairies </w:t>
            </w:r>
            <w:proofErr w:type="spellStart"/>
            <w:r>
              <w:rPr>
                <w:lang w:val="en-US"/>
              </w:rPr>
              <w:t>fleuries</w:t>
            </w:r>
            <w:proofErr w:type="spellEnd"/>
          </w:p>
        </w:tc>
        <w:tc>
          <w:tcPr>
            <w:tcW w:w="3260" w:type="dxa"/>
          </w:tcPr>
          <w:p w:rsidR="001C06B6" w:rsidRDefault="001C06B6" w:rsidP="001C06B6">
            <w:r>
              <w:t xml:space="preserve">Mobilisation des parcs naturels </w:t>
            </w:r>
            <w:proofErr w:type="gramStart"/>
            <w:r>
              <w:t>régionaux  et</w:t>
            </w:r>
            <w:proofErr w:type="gramEnd"/>
            <w:r>
              <w:t xml:space="preserve"> de leur fédération</w:t>
            </w:r>
          </w:p>
          <w:p w:rsidR="001C06B6" w:rsidRDefault="001C06B6" w:rsidP="001C06B6">
            <w:r>
              <w:lastRenderedPageBreak/>
              <w:t xml:space="preserve">Coopérative </w:t>
            </w:r>
            <w:proofErr w:type="spellStart"/>
            <w:r>
              <w:t>Scopela</w:t>
            </w:r>
            <w:proofErr w:type="spellEnd"/>
            <w:r>
              <w:t xml:space="preserve"> présentée comme une start-up chargée d’accompagner les projets « Prairie Fleurie »</w:t>
            </w:r>
          </w:p>
          <w:p w:rsidR="001C06B6" w:rsidRDefault="001C06B6" w:rsidP="001C06B6">
            <w:r>
              <w:t xml:space="preserve">Réseau « </w:t>
            </w:r>
            <w:proofErr w:type="spellStart"/>
            <w:r>
              <w:t>Patûr’Ajust</w:t>
            </w:r>
            <w:proofErr w:type="spellEnd"/>
            <w:r>
              <w:t xml:space="preserve"> » autour d’éleveurs, de techniciens d’enseignants et de chercheurs pour valoriser les prairies naturelles dans la production</w:t>
            </w:r>
          </w:p>
        </w:tc>
        <w:tc>
          <w:tcPr>
            <w:tcW w:w="949" w:type="dxa"/>
          </w:tcPr>
          <w:p w:rsidR="001C06B6" w:rsidRPr="00A14BBE" w:rsidRDefault="001C06B6" w:rsidP="00B04F81"/>
        </w:tc>
        <w:tc>
          <w:tcPr>
            <w:tcW w:w="1693" w:type="dxa"/>
          </w:tcPr>
          <w:p w:rsidR="001C06B6" w:rsidRPr="00A14BBE" w:rsidRDefault="001C06B6" w:rsidP="00B04F81"/>
        </w:tc>
        <w:tc>
          <w:tcPr>
            <w:tcW w:w="2036" w:type="dxa"/>
          </w:tcPr>
          <w:p w:rsidR="001C06B6" w:rsidRPr="00A14BBE" w:rsidRDefault="001C06B6" w:rsidP="00B04F81"/>
        </w:tc>
        <w:tc>
          <w:tcPr>
            <w:tcW w:w="1984" w:type="dxa"/>
          </w:tcPr>
          <w:p w:rsidR="001C06B6" w:rsidRPr="00A14BBE" w:rsidRDefault="001C06B6" w:rsidP="00B04F81"/>
        </w:tc>
        <w:tc>
          <w:tcPr>
            <w:tcW w:w="2552" w:type="dxa"/>
          </w:tcPr>
          <w:p w:rsidR="001C06B6" w:rsidRPr="00A14BBE" w:rsidRDefault="001C06B6" w:rsidP="00B04F81"/>
        </w:tc>
      </w:tr>
      <w:tr w:rsidR="008D0BDD" w:rsidRPr="00A14BBE" w:rsidTr="00D05366">
        <w:tc>
          <w:tcPr>
            <w:tcW w:w="1413" w:type="dxa"/>
          </w:tcPr>
          <w:p w:rsidR="008D0BDD" w:rsidRPr="00A14BBE" w:rsidRDefault="008D0BDD" w:rsidP="00B04F8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Abeilles</w:t>
            </w:r>
            <w:proofErr w:type="spellEnd"/>
          </w:p>
        </w:tc>
        <w:tc>
          <w:tcPr>
            <w:tcW w:w="3260" w:type="dxa"/>
          </w:tcPr>
          <w:p w:rsidR="008D0BDD" w:rsidRPr="00A14BBE" w:rsidRDefault="008D0BDD" w:rsidP="00B04F81">
            <w:r>
              <w:t>Renforcement de la filière  apicole</w:t>
            </w:r>
          </w:p>
        </w:tc>
        <w:tc>
          <w:tcPr>
            <w:tcW w:w="949" w:type="dxa"/>
          </w:tcPr>
          <w:p w:rsidR="008D0BDD" w:rsidRPr="00A14BBE" w:rsidRDefault="008D0BDD" w:rsidP="00B04F81"/>
        </w:tc>
        <w:tc>
          <w:tcPr>
            <w:tcW w:w="1693" w:type="dxa"/>
          </w:tcPr>
          <w:p w:rsidR="008D0BDD" w:rsidRPr="00A14BBE" w:rsidRDefault="008D0BDD" w:rsidP="00B04F81"/>
        </w:tc>
        <w:tc>
          <w:tcPr>
            <w:tcW w:w="2036" w:type="dxa"/>
          </w:tcPr>
          <w:p w:rsidR="008D0BDD" w:rsidRPr="00A14BBE" w:rsidRDefault="008D0BDD" w:rsidP="00B04F81"/>
        </w:tc>
        <w:tc>
          <w:tcPr>
            <w:tcW w:w="1984" w:type="dxa"/>
          </w:tcPr>
          <w:p w:rsidR="008D0BDD" w:rsidRPr="00A14BBE" w:rsidRDefault="008D0BDD" w:rsidP="00B04F81"/>
        </w:tc>
        <w:tc>
          <w:tcPr>
            <w:tcW w:w="2552" w:type="dxa"/>
          </w:tcPr>
          <w:p w:rsidR="008D0BDD" w:rsidRPr="00A14BBE" w:rsidRDefault="008D0BDD" w:rsidP="00B04F81"/>
        </w:tc>
      </w:tr>
    </w:tbl>
    <w:p w:rsidR="00275B7E" w:rsidRDefault="00275B7E" w:rsidP="00115287"/>
    <w:p w:rsidR="00275B7E" w:rsidRDefault="00275B7E" w:rsidP="00275B7E">
      <w:r>
        <w:br w:type="page"/>
      </w:r>
    </w:p>
    <w:p w:rsidR="00115287" w:rsidRPr="00115287" w:rsidRDefault="00115287" w:rsidP="00115287"/>
    <w:p w:rsidR="00115287" w:rsidRDefault="00115287" w:rsidP="00115287">
      <w:pPr>
        <w:pStyle w:val="Titre1"/>
      </w:pPr>
      <w:r>
        <w:t xml:space="preserve">Sous-catégorie : </w:t>
      </w:r>
      <w:r w:rsidR="000C62C7">
        <w:t xml:space="preserve">Capacités d’action collective, notamment </w:t>
      </w:r>
      <w:r w:rsidRPr="00115287">
        <w:t xml:space="preserve">par des alliances entre organisations </w:t>
      </w:r>
    </w:p>
    <w:p w:rsidR="00AE627E" w:rsidRPr="00AE627E" w:rsidRDefault="00AE627E" w:rsidP="00AE627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950"/>
        <w:gridCol w:w="1259"/>
        <w:gridCol w:w="1693"/>
        <w:gridCol w:w="1662"/>
        <w:gridCol w:w="1662"/>
        <w:gridCol w:w="1662"/>
      </w:tblGrid>
      <w:tr w:rsidR="00270530" w:rsidRPr="00A14BBE" w:rsidTr="00B04F81">
        <w:tc>
          <w:tcPr>
            <w:tcW w:w="1413" w:type="dxa"/>
          </w:tcPr>
          <w:p w:rsidR="00270530" w:rsidRPr="00A14BBE" w:rsidRDefault="00270530" w:rsidP="00B04F81">
            <w:pPr>
              <w:spacing w:after="160" w:line="259" w:lineRule="auto"/>
            </w:pPr>
            <w:r w:rsidRPr="00A14BBE">
              <w:t>Etude de cas</w:t>
            </w:r>
          </w:p>
        </w:tc>
        <w:tc>
          <w:tcPr>
            <w:tcW w:w="2950" w:type="dxa"/>
          </w:tcPr>
          <w:p w:rsidR="00270530" w:rsidRPr="00A14BBE" w:rsidRDefault="00270530" w:rsidP="00B04F81">
            <w:pPr>
              <w:spacing w:after="160" w:line="259" w:lineRule="auto"/>
            </w:pPr>
            <w:r w:rsidRPr="00A14BBE">
              <w:t>descripteurs</w:t>
            </w:r>
          </w:p>
        </w:tc>
        <w:tc>
          <w:tcPr>
            <w:tcW w:w="1259" w:type="dxa"/>
          </w:tcPr>
          <w:p w:rsidR="00270530" w:rsidRPr="00A14BBE" w:rsidRDefault="00270530" w:rsidP="00B04F81">
            <w:r>
              <w:t>Note</w:t>
            </w:r>
          </w:p>
        </w:tc>
        <w:tc>
          <w:tcPr>
            <w:tcW w:w="1693" w:type="dxa"/>
          </w:tcPr>
          <w:p w:rsidR="00270530" w:rsidRPr="00A14BBE" w:rsidRDefault="00270530" w:rsidP="00B04F81">
            <w:r>
              <w:t>commentaire</w:t>
            </w:r>
          </w:p>
        </w:tc>
        <w:tc>
          <w:tcPr>
            <w:tcW w:w="1662" w:type="dxa"/>
          </w:tcPr>
          <w:p w:rsidR="00270530" w:rsidRDefault="00270530" w:rsidP="00B04F81">
            <w:r>
              <w:t>Quelle information vous aurait permis de consolider votre notation ?</w:t>
            </w:r>
          </w:p>
        </w:tc>
        <w:tc>
          <w:tcPr>
            <w:tcW w:w="1662" w:type="dxa"/>
          </w:tcPr>
          <w:p w:rsidR="00270530" w:rsidRDefault="00270530" w:rsidP="00B04F81">
            <w:r>
              <w:t>Qu’est ce qui aurait justifié une note supérieure ?</w:t>
            </w:r>
          </w:p>
        </w:tc>
        <w:tc>
          <w:tcPr>
            <w:tcW w:w="1662" w:type="dxa"/>
          </w:tcPr>
          <w:p w:rsidR="00270530" w:rsidRDefault="00270530" w:rsidP="00B04F81">
            <w:r>
              <w:t>Qu’est-ce qui aurait justifié une note inférieure ?</w:t>
            </w:r>
          </w:p>
        </w:tc>
      </w:tr>
      <w:tr w:rsidR="00270530" w:rsidRPr="00A14BBE" w:rsidTr="00B04F81">
        <w:tc>
          <w:tcPr>
            <w:tcW w:w="1413" w:type="dxa"/>
          </w:tcPr>
          <w:p w:rsidR="00270530" w:rsidRPr="00A14BBE" w:rsidRDefault="00270530" w:rsidP="00B04F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TAC </w:t>
            </w:r>
            <w:proofErr w:type="spellStart"/>
            <w:r>
              <w:rPr>
                <w:lang w:val="en-US"/>
              </w:rPr>
              <w:t>saumon</w:t>
            </w:r>
            <w:proofErr w:type="spellEnd"/>
          </w:p>
        </w:tc>
        <w:tc>
          <w:tcPr>
            <w:tcW w:w="2950" w:type="dxa"/>
          </w:tcPr>
          <w:p w:rsidR="00270530" w:rsidRPr="00A14BBE" w:rsidRDefault="00270530" w:rsidP="000C62C7">
            <w:pPr>
              <w:spacing w:after="160" w:line="259" w:lineRule="auto"/>
            </w:pPr>
            <w:r>
              <w:t>Association des</w:t>
            </w:r>
            <w:r w:rsidRPr="000C62C7">
              <w:t xml:space="preserve"> différentes parties prenantes</w:t>
            </w:r>
            <w:r>
              <w:t xml:space="preserve"> (état, association de consommateurs, pêcheurs) </w:t>
            </w:r>
            <w:r w:rsidRPr="000C62C7">
              <w:t xml:space="preserve">, autour </w:t>
            </w:r>
            <w:r>
              <w:t>du suivi des populations de saumon</w:t>
            </w:r>
            <w:r w:rsidRPr="000C62C7">
              <w:t xml:space="preserve"> </w:t>
            </w:r>
            <w:r>
              <w:t>en vue de</w:t>
            </w:r>
            <w:r w:rsidRPr="000C62C7">
              <w:t xml:space="preserve"> préserver la ressource </w:t>
            </w:r>
          </w:p>
        </w:tc>
        <w:tc>
          <w:tcPr>
            <w:tcW w:w="1259" w:type="dxa"/>
          </w:tcPr>
          <w:p w:rsidR="00270530" w:rsidRPr="00A14BBE" w:rsidRDefault="00270530" w:rsidP="00B04F81"/>
        </w:tc>
        <w:tc>
          <w:tcPr>
            <w:tcW w:w="1693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</w:tr>
      <w:tr w:rsidR="00270530" w:rsidRPr="00A14BBE" w:rsidTr="00B04F81">
        <w:tc>
          <w:tcPr>
            <w:tcW w:w="1413" w:type="dxa"/>
          </w:tcPr>
          <w:p w:rsidR="00270530" w:rsidRPr="00A14BBE" w:rsidRDefault="00270530" w:rsidP="00B04F81">
            <w:pPr>
              <w:spacing w:after="160" w:line="259" w:lineRule="auto"/>
            </w:pPr>
            <w:r w:rsidRPr="00A14BBE">
              <w:t>Prairies fleuries</w:t>
            </w:r>
          </w:p>
        </w:tc>
        <w:tc>
          <w:tcPr>
            <w:tcW w:w="2950" w:type="dxa"/>
          </w:tcPr>
          <w:p w:rsidR="00270530" w:rsidRPr="00A14BBE" w:rsidRDefault="00270530" w:rsidP="00B04F81">
            <w:pPr>
              <w:spacing w:after="160" w:line="259" w:lineRule="auto"/>
            </w:pPr>
            <w:r w:rsidRPr="00584A05">
              <w:t xml:space="preserve">Collaboration forte entre l’Inra, la Fédération des Parcs et plus tard les Chambres d’Agriculture </w:t>
            </w:r>
            <w:r w:rsidRPr="00A14BBE">
              <w:t>Création d’un réseau de coopération agri-écologique : (</w:t>
            </w:r>
            <w:proofErr w:type="spellStart"/>
            <w:r w:rsidRPr="00A14BBE">
              <w:t>co-portages</w:t>
            </w:r>
            <w:proofErr w:type="spellEnd"/>
            <w:r w:rsidRPr="00A14BBE">
              <w:t xml:space="preserve"> de concours locaux, ex : PNR Vosges-Chambre Agri Alsace-.) </w:t>
            </w:r>
          </w:p>
        </w:tc>
        <w:tc>
          <w:tcPr>
            <w:tcW w:w="1259" w:type="dxa"/>
          </w:tcPr>
          <w:p w:rsidR="00270530" w:rsidRPr="00A14BBE" w:rsidRDefault="00270530" w:rsidP="00B04F81"/>
        </w:tc>
        <w:tc>
          <w:tcPr>
            <w:tcW w:w="1693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</w:tr>
      <w:tr w:rsidR="00270530" w:rsidRPr="00A14BBE" w:rsidTr="00B04F81">
        <w:tc>
          <w:tcPr>
            <w:tcW w:w="1413" w:type="dxa"/>
          </w:tcPr>
          <w:p w:rsidR="00270530" w:rsidRPr="00A14BBE" w:rsidRDefault="00270530" w:rsidP="00B04F81">
            <w:pPr>
              <w:spacing w:after="160" w:line="259" w:lineRule="auto"/>
              <w:rPr>
                <w:lang w:val="en-US"/>
              </w:rPr>
            </w:pPr>
            <w:proofErr w:type="spellStart"/>
            <w:r w:rsidRPr="00A14BBE">
              <w:rPr>
                <w:lang w:val="en-US"/>
              </w:rPr>
              <w:t>Ici.C.Local</w:t>
            </w:r>
            <w:proofErr w:type="spellEnd"/>
          </w:p>
        </w:tc>
        <w:tc>
          <w:tcPr>
            <w:tcW w:w="2950" w:type="dxa"/>
          </w:tcPr>
          <w:p w:rsidR="00270530" w:rsidRDefault="00270530" w:rsidP="00B04F81">
            <w:pPr>
              <w:spacing w:after="160" w:line="259" w:lineRule="auto"/>
            </w:pPr>
            <w:proofErr w:type="gramStart"/>
            <w:r w:rsidRPr="00A14BBE">
              <w:t>création</w:t>
            </w:r>
            <w:proofErr w:type="gramEnd"/>
            <w:r w:rsidRPr="00A14BBE">
              <w:t>, renouvellement de réseau (professionnels) et liens, coopération</w:t>
            </w:r>
          </w:p>
          <w:p w:rsidR="0033426A" w:rsidRPr="00A14BBE" w:rsidRDefault="0033426A" w:rsidP="0033426A">
            <w:pPr>
              <w:spacing w:after="160" w:line="259" w:lineRule="auto"/>
            </w:pPr>
            <w:r w:rsidRPr="0033426A">
              <w:lastRenderedPageBreak/>
              <w:t>Rôle dans la démocratie alimentaire, à travers l’ouverture de choix plus importants et surtout plus éclairés parce que mieux informés, permettant aux mangeurs de davantage « voter avec leur assiette » mais aussi de refuser d’endosser, seuls et individuellement, la responsabil</w:t>
            </w:r>
            <w:bookmarkStart w:id="0" w:name="_GoBack"/>
            <w:bookmarkEnd w:id="0"/>
            <w:r w:rsidRPr="0033426A">
              <w:t>ité de développer une alimentation plus durable</w:t>
            </w:r>
          </w:p>
        </w:tc>
        <w:tc>
          <w:tcPr>
            <w:tcW w:w="1259" w:type="dxa"/>
          </w:tcPr>
          <w:p w:rsidR="00270530" w:rsidRPr="00A14BBE" w:rsidRDefault="00270530" w:rsidP="00B04F81"/>
        </w:tc>
        <w:tc>
          <w:tcPr>
            <w:tcW w:w="1693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</w:tr>
    </w:tbl>
    <w:p w:rsidR="00115287" w:rsidRDefault="00115287" w:rsidP="00115287"/>
    <w:p w:rsidR="00275B7E" w:rsidRDefault="00275B7E">
      <w:r>
        <w:br w:type="page"/>
      </w:r>
    </w:p>
    <w:p w:rsidR="00275B7E" w:rsidRPr="00115287" w:rsidRDefault="00275B7E" w:rsidP="00115287"/>
    <w:p w:rsidR="00115287" w:rsidRPr="00115287" w:rsidRDefault="00115287" w:rsidP="00115287">
      <w:pPr>
        <w:pStyle w:val="Titre1"/>
      </w:pPr>
      <w:r w:rsidRPr="00115287">
        <w:t xml:space="preserve">Sous-catégorie : Liens social de proximité, renforcement d’une communauté </w:t>
      </w:r>
    </w:p>
    <w:p w:rsidR="00B5785B" w:rsidRDefault="00B5785B" w:rsidP="00B5785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950"/>
        <w:gridCol w:w="1259"/>
        <w:gridCol w:w="1693"/>
        <w:gridCol w:w="1662"/>
        <w:gridCol w:w="1662"/>
        <w:gridCol w:w="1662"/>
      </w:tblGrid>
      <w:tr w:rsidR="00270530" w:rsidRPr="00A14BBE" w:rsidTr="00B04F81">
        <w:tc>
          <w:tcPr>
            <w:tcW w:w="1413" w:type="dxa"/>
          </w:tcPr>
          <w:p w:rsidR="00270530" w:rsidRPr="00A14BBE" w:rsidRDefault="00270530" w:rsidP="00B04F81">
            <w:pPr>
              <w:spacing w:after="160" w:line="259" w:lineRule="auto"/>
            </w:pPr>
            <w:r w:rsidRPr="00A14BBE">
              <w:t>Etude de cas</w:t>
            </w:r>
          </w:p>
        </w:tc>
        <w:tc>
          <w:tcPr>
            <w:tcW w:w="2950" w:type="dxa"/>
          </w:tcPr>
          <w:p w:rsidR="00270530" w:rsidRPr="00A14BBE" w:rsidRDefault="00270530" w:rsidP="00B04F81">
            <w:pPr>
              <w:spacing w:after="160" w:line="259" w:lineRule="auto"/>
            </w:pPr>
            <w:r w:rsidRPr="00A14BBE">
              <w:t>descripteurs</w:t>
            </w:r>
          </w:p>
        </w:tc>
        <w:tc>
          <w:tcPr>
            <w:tcW w:w="1259" w:type="dxa"/>
          </w:tcPr>
          <w:p w:rsidR="00270530" w:rsidRPr="00A14BBE" w:rsidRDefault="00270530" w:rsidP="00B04F81">
            <w:r>
              <w:t>Note</w:t>
            </w:r>
          </w:p>
        </w:tc>
        <w:tc>
          <w:tcPr>
            <w:tcW w:w="1693" w:type="dxa"/>
          </w:tcPr>
          <w:p w:rsidR="00270530" w:rsidRPr="00A14BBE" w:rsidRDefault="00270530" w:rsidP="00B04F81">
            <w:r>
              <w:t>commentaire</w:t>
            </w:r>
          </w:p>
        </w:tc>
        <w:tc>
          <w:tcPr>
            <w:tcW w:w="1662" w:type="dxa"/>
          </w:tcPr>
          <w:p w:rsidR="00270530" w:rsidRDefault="00270530" w:rsidP="00B04F81">
            <w:r>
              <w:t>Quelle information vous aurait permis de consolider votre notation ?</w:t>
            </w:r>
          </w:p>
        </w:tc>
        <w:tc>
          <w:tcPr>
            <w:tcW w:w="1662" w:type="dxa"/>
          </w:tcPr>
          <w:p w:rsidR="00270530" w:rsidRDefault="00270530" w:rsidP="00B04F81">
            <w:r>
              <w:t>Qu’est ce qui aurait justifié une note supérieure ?</w:t>
            </w:r>
          </w:p>
        </w:tc>
        <w:tc>
          <w:tcPr>
            <w:tcW w:w="1662" w:type="dxa"/>
          </w:tcPr>
          <w:p w:rsidR="00270530" w:rsidRDefault="00270530" w:rsidP="00B04F81">
            <w:r>
              <w:t>Qu’est-ce qui aurait justifié une note inférieure ?</w:t>
            </w:r>
          </w:p>
        </w:tc>
      </w:tr>
      <w:tr w:rsidR="00270530" w:rsidRPr="00A14BBE" w:rsidTr="00B04F81">
        <w:tc>
          <w:tcPr>
            <w:tcW w:w="1413" w:type="dxa"/>
          </w:tcPr>
          <w:p w:rsidR="00270530" w:rsidRPr="00A14BBE" w:rsidRDefault="00270530" w:rsidP="00B04F81">
            <w:pPr>
              <w:spacing w:after="160" w:line="259" w:lineRule="auto"/>
            </w:pPr>
            <w:r w:rsidRPr="00A14BBE">
              <w:t xml:space="preserve">Abeilles </w:t>
            </w:r>
          </w:p>
        </w:tc>
        <w:tc>
          <w:tcPr>
            <w:tcW w:w="2950" w:type="dxa"/>
          </w:tcPr>
          <w:p w:rsidR="00270530" w:rsidRPr="00A14BBE" w:rsidRDefault="00270530" w:rsidP="00270530">
            <w:pPr>
              <w:spacing w:after="160" w:line="259" w:lineRule="auto"/>
            </w:pPr>
            <w:r>
              <w:t>Renforcement de la communauté des apiculteurs ?</w:t>
            </w:r>
          </w:p>
        </w:tc>
        <w:tc>
          <w:tcPr>
            <w:tcW w:w="1259" w:type="dxa"/>
          </w:tcPr>
          <w:p w:rsidR="00270530" w:rsidRPr="00A14BBE" w:rsidRDefault="00270530" w:rsidP="00B04F81"/>
        </w:tc>
        <w:tc>
          <w:tcPr>
            <w:tcW w:w="1693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</w:tr>
      <w:tr w:rsidR="00270530" w:rsidRPr="00A14BBE" w:rsidTr="00B04F81">
        <w:tc>
          <w:tcPr>
            <w:tcW w:w="1413" w:type="dxa"/>
          </w:tcPr>
          <w:p w:rsidR="00270530" w:rsidRPr="00A14BBE" w:rsidRDefault="00270530" w:rsidP="00B04F81">
            <w:pPr>
              <w:spacing w:after="160" w:line="259" w:lineRule="auto"/>
              <w:rPr>
                <w:lang w:val="en-US"/>
              </w:rPr>
            </w:pPr>
            <w:proofErr w:type="spellStart"/>
            <w:r w:rsidRPr="00A14BBE">
              <w:rPr>
                <w:lang w:val="en-US"/>
              </w:rPr>
              <w:t>Ici.C.Local</w:t>
            </w:r>
            <w:proofErr w:type="spellEnd"/>
          </w:p>
        </w:tc>
        <w:tc>
          <w:tcPr>
            <w:tcW w:w="2950" w:type="dxa"/>
          </w:tcPr>
          <w:p w:rsidR="00270530" w:rsidRPr="00A14BBE" w:rsidRDefault="00270530" w:rsidP="00B04F81">
            <w:pPr>
              <w:spacing w:after="160" w:line="259" w:lineRule="auto"/>
            </w:pPr>
            <w:r w:rsidRPr="00A14BBE">
              <w:t xml:space="preserve">création, renouvellement de réseau (professionnels) et </w:t>
            </w:r>
            <w:r w:rsidR="00CD7153">
              <w:t xml:space="preserve">de </w:t>
            </w:r>
            <w:r w:rsidRPr="00A14BBE">
              <w:t>liens, coopération</w:t>
            </w:r>
            <w:r w:rsidR="00CD7153">
              <w:t xml:space="preserve"> accrue</w:t>
            </w:r>
          </w:p>
        </w:tc>
        <w:tc>
          <w:tcPr>
            <w:tcW w:w="1259" w:type="dxa"/>
          </w:tcPr>
          <w:p w:rsidR="00270530" w:rsidRPr="00A14BBE" w:rsidRDefault="00270530" w:rsidP="00B04F81"/>
        </w:tc>
        <w:tc>
          <w:tcPr>
            <w:tcW w:w="1693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  <w:tc>
          <w:tcPr>
            <w:tcW w:w="1662" w:type="dxa"/>
          </w:tcPr>
          <w:p w:rsidR="00270530" w:rsidRPr="00A14BBE" w:rsidRDefault="00270530" w:rsidP="00B04F81"/>
        </w:tc>
      </w:tr>
    </w:tbl>
    <w:p w:rsidR="00A14BBE" w:rsidRDefault="00A14BBE" w:rsidP="00B5785B"/>
    <w:sectPr w:rsidR="00A14BBE" w:rsidSect="00B5785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7E" w:rsidRDefault="00AE627E" w:rsidP="00AE627E">
      <w:pPr>
        <w:spacing w:after="0" w:line="240" w:lineRule="auto"/>
      </w:pPr>
      <w:r>
        <w:separator/>
      </w:r>
    </w:p>
  </w:endnote>
  <w:endnote w:type="continuationSeparator" w:id="0">
    <w:p w:rsidR="00AE627E" w:rsidRDefault="00AE627E" w:rsidP="00AE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32657"/>
      <w:docPartObj>
        <w:docPartGallery w:val="Page Numbers (Bottom of Page)"/>
        <w:docPartUnique/>
      </w:docPartObj>
    </w:sdtPr>
    <w:sdtEndPr/>
    <w:sdtContent>
      <w:p w:rsidR="00AE627E" w:rsidRDefault="00AE627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26A">
          <w:rPr>
            <w:noProof/>
          </w:rPr>
          <w:t>9</w:t>
        </w:r>
        <w:r>
          <w:fldChar w:fldCharType="end"/>
        </w:r>
      </w:p>
    </w:sdtContent>
  </w:sdt>
  <w:p w:rsidR="00AE627E" w:rsidRDefault="00AE62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7E" w:rsidRDefault="00AE627E" w:rsidP="00AE627E">
      <w:pPr>
        <w:spacing w:after="0" w:line="240" w:lineRule="auto"/>
      </w:pPr>
      <w:r>
        <w:separator/>
      </w:r>
    </w:p>
  </w:footnote>
  <w:footnote w:type="continuationSeparator" w:id="0">
    <w:p w:rsidR="00AE627E" w:rsidRDefault="00AE627E" w:rsidP="00AE6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84FFE"/>
    <w:multiLevelType w:val="hybridMultilevel"/>
    <w:tmpl w:val="EFE2539A"/>
    <w:lvl w:ilvl="0" w:tplc="C0D6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5B"/>
    <w:rsid w:val="00017021"/>
    <w:rsid w:val="00082F3D"/>
    <w:rsid w:val="000C62C7"/>
    <w:rsid w:val="00115287"/>
    <w:rsid w:val="001C06B6"/>
    <w:rsid w:val="001C5DEF"/>
    <w:rsid w:val="001E3E1C"/>
    <w:rsid w:val="00270530"/>
    <w:rsid w:val="00275B7E"/>
    <w:rsid w:val="0033426A"/>
    <w:rsid w:val="00584A05"/>
    <w:rsid w:val="00826904"/>
    <w:rsid w:val="008D0BDD"/>
    <w:rsid w:val="009B3A91"/>
    <w:rsid w:val="00A14BBE"/>
    <w:rsid w:val="00AE627E"/>
    <w:rsid w:val="00B309CF"/>
    <w:rsid w:val="00B5785B"/>
    <w:rsid w:val="00CD7153"/>
    <w:rsid w:val="00D05366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2853"/>
  <w15:chartTrackingRefBased/>
  <w15:docId w15:val="{1D73491D-A49B-4CB4-AB5D-5217670E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5287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E74B5" w:themeColor="accent1" w:themeShade="BF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15287"/>
    <w:rPr>
      <w:rFonts w:ascii="Verdana" w:eastAsiaTheme="majorEastAsia" w:hAnsi="Verdana" w:cstheme="majorBidi"/>
      <w:color w:val="2E74B5" w:themeColor="accent1" w:themeShade="BF"/>
      <w:sz w:val="28"/>
      <w:szCs w:val="32"/>
    </w:rPr>
  </w:style>
  <w:style w:type="paragraph" w:styleId="En-tte">
    <w:name w:val="header"/>
    <w:basedOn w:val="Normal"/>
    <w:link w:val="En-tteCar"/>
    <w:uiPriority w:val="99"/>
    <w:unhideWhenUsed/>
    <w:rsid w:val="00AE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27E"/>
  </w:style>
  <w:style w:type="paragraph" w:styleId="Pieddepage">
    <w:name w:val="footer"/>
    <w:basedOn w:val="Normal"/>
    <w:link w:val="PieddepageCar"/>
    <w:uiPriority w:val="99"/>
    <w:unhideWhenUsed/>
    <w:rsid w:val="00AE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27E"/>
  </w:style>
  <w:style w:type="paragraph" w:styleId="Textedebulles">
    <w:name w:val="Balloon Text"/>
    <w:basedOn w:val="Normal"/>
    <w:link w:val="TextedebullesCar"/>
    <w:uiPriority w:val="99"/>
    <w:semiHidden/>
    <w:unhideWhenUsed/>
    <w:rsid w:val="0027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952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Colinet</dc:creator>
  <cp:keywords/>
  <dc:description/>
  <cp:lastModifiedBy>Laurence Colinet</cp:lastModifiedBy>
  <cp:revision>16</cp:revision>
  <cp:lastPrinted>2019-11-28T11:01:00Z</cp:lastPrinted>
  <dcterms:created xsi:type="dcterms:W3CDTF">2019-11-28T10:38:00Z</dcterms:created>
  <dcterms:modified xsi:type="dcterms:W3CDTF">2019-12-11T10:58:00Z</dcterms:modified>
</cp:coreProperties>
</file>