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82" w:rsidRPr="002F4782" w:rsidRDefault="002F4782" w:rsidP="002F4782"/>
    <w:p w:rsidR="002F4782" w:rsidRPr="002F4782" w:rsidRDefault="002F4782" w:rsidP="002F4782">
      <w:pPr>
        <w:pStyle w:val="Titre1"/>
      </w:pPr>
      <w:r>
        <w:t>Catégorie :</w:t>
      </w:r>
      <w:r w:rsidRPr="002F4782">
        <w:t xml:space="preserve"> Contribution à la cohésion sociale par la réduction des inégalités </w:t>
      </w:r>
    </w:p>
    <w:p w:rsidR="002F4782" w:rsidRDefault="002F4782" w:rsidP="002F4782"/>
    <w:p w:rsidR="002F4782" w:rsidRDefault="002F4782" w:rsidP="002F4782">
      <w:r>
        <w:t xml:space="preserve">Cette dimension constitue très souvent la cible prioritaire des grandes fondations internationales. On vise donc ici à prendre en compte les effets de la recherche sur les inégalités et l’inclusion sociale, qui peuvent inclure les sous-catégories suivantes: </w:t>
      </w:r>
    </w:p>
    <w:p w:rsidR="002F4782" w:rsidRDefault="002F4782" w:rsidP="002F4782">
      <w:pPr>
        <w:pStyle w:val="Paragraphedeliste"/>
        <w:numPr>
          <w:ilvl w:val="0"/>
          <w:numId w:val="3"/>
        </w:numPr>
      </w:pPr>
      <w:r>
        <w:t xml:space="preserve">L’impact sur les inégalités </w:t>
      </w:r>
      <w:r w:rsidR="00F45136">
        <w:t>de</w:t>
      </w:r>
      <w:r>
        <w:t xml:space="preserve"> répartition des </w:t>
      </w:r>
      <w:r w:rsidR="00F45136">
        <w:t xml:space="preserve">revenus, </w:t>
      </w:r>
      <w:r>
        <w:t>des richesses;</w:t>
      </w:r>
    </w:p>
    <w:p w:rsidR="002F4782" w:rsidRDefault="002F4782" w:rsidP="002F4782">
      <w:pPr>
        <w:pStyle w:val="Paragraphedeliste"/>
        <w:numPr>
          <w:ilvl w:val="0"/>
          <w:numId w:val="3"/>
        </w:numPr>
      </w:pPr>
      <w:r>
        <w:t xml:space="preserve"> Les effets sur les populations fragiles par exemple les travailleurs avec un revenu insuffisant ; </w:t>
      </w:r>
    </w:p>
    <w:p w:rsidR="002F4782" w:rsidRDefault="002F4782" w:rsidP="002F4782">
      <w:pPr>
        <w:pStyle w:val="Paragraphedeliste"/>
        <w:numPr>
          <w:ilvl w:val="0"/>
          <w:numId w:val="3"/>
        </w:numPr>
      </w:pPr>
      <w:r>
        <w:t>La création de nouvelles opportunités en zone défavorisée</w:t>
      </w:r>
    </w:p>
    <w:p w:rsidR="002F4782" w:rsidRDefault="002F4782" w:rsidP="002F4782">
      <w:pPr>
        <w:pStyle w:val="Paragraphedeliste"/>
        <w:numPr>
          <w:ilvl w:val="0"/>
          <w:numId w:val="3"/>
        </w:numPr>
      </w:pPr>
      <w:r>
        <w:t xml:space="preserve">L’accès aux services essentiels </w:t>
      </w:r>
    </w:p>
    <w:p w:rsidR="001A3E49" w:rsidRPr="00B8346C" w:rsidRDefault="00B8346C" w:rsidP="00B8346C">
      <w:pPr>
        <w:pStyle w:val="Titre2"/>
        <w:rPr>
          <w:rFonts w:ascii="Verdana" w:hAnsi="Verdana"/>
        </w:rPr>
      </w:pPr>
      <w:r w:rsidRPr="00B8346C">
        <w:rPr>
          <w:rFonts w:ascii="Verdana" w:hAnsi="Verdana"/>
        </w:rPr>
        <w:t>L’impact sur les inégalités et la répartitio</w:t>
      </w:r>
      <w:r w:rsidR="001A30AD">
        <w:rPr>
          <w:rFonts w:ascii="Verdana" w:hAnsi="Verdana"/>
        </w:rPr>
        <w:t>n des revenus et des richesses</w:t>
      </w:r>
    </w:p>
    <w:p w:rsidR="00B8346C" w:rsidRPr="002F4782" w:rsidRDefault="00B8346C" w:rsidP="002F478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54"/>
        <w:gridCol w:w="2070"/>
        <w:gridCol w:w="1137"/>
        <w:gridCol w:w="1747"/>
        <w:gridCol w:w="2046"/>
        <w:gridCol w:w="2025"/>
        <w:gridCol w:w="1809"/>
      </w:tblGrid>
      <w:tr w:rsidR="001A30AD" w:rsidRPr="002F4782" w:rsidTr="001A3E49">
        <w:tc>
          <w:tcPr>
            <w:tcW w:w="1754" w:type="dxa"/>
          </w:tcPr>
          <w:p w:rsidR="001A30AD" w:rsidRPr="002F4782" w:rsidRDefault="001A30AD" w:rsidP="002F4782">
            <w:pPr>
              <w:spacing w:after="160" w:line="259" w:lineRule="auto"/>
            </w:pPr>
            <w:r w:rsidRPr="002F4782">
              <w:t>Etude de cas</w:t>
            </w:r>
          </w:p>
        </w:tc>
        <w:tc>
          <w:tcPr>
            <w:tcW w:w="2070" w:type="dxa"/>
          </w:tcPr>
          <w:p w:rsidR="001A30AD" w:rsidRPr="002F4782" w:rsidRDefault="001A30AD" w:rsidP="002F4782">
            <w:pPr>
              <w:spacing w:after="160" w:line="259" w:lineRule="auto"/>
            </w:pPr>
            <w:r w:rsidRPr="002F4782">
              <w:t>descripteurs</w:t>
            </w:r>
          </w:p>
        </w:tc>
        <w:tc>
          <w:tcPr>
            <w:tcW w:w="1137" w:type="dxa"/>
          </w:tcPr>
          <w:p w:rsidR="001A30AD" w:rsidRPr="002F4782" w:rsidRDefault="001A30AD" w:rsidP="002F4782">
            <w:r>
              <w:t>Note</w:t>
            </w:r>
          </w:p>
        </w:tc>
        <w:tc>
          <w:tcPr>
            <w:tcW w:w="1747" w:type="dxa"/>
          </w:tcPr>
          <w:p w:rsidR="001A30AD" w:rsidRDefault="001A30AD" w:rsidP="002F4782">
            <w:r>
              <w:t>commentaire</w:t>
            </w:r>
          </w:p>
        </w:tc>
        <w:tc>
          <w:tcPr>
            <w:tcW w:w="2046" w:type="dxa"/>
          </w:tcPr>
          <w:p w:rsidR="001A30AD" w:rsidRDefault="001A30AD" w:rsidP="002F4782">
            <w:r>
              <w:t>Quelle information vous aurait permis de consolider cotre notation ?</w:t>
            </w:r>
          </w:p>
        </w:tc>
        <w:tc>
          <w:tcPr>
            <w:tcW w:w="2025" w:type="dxa"/>
          </w:tcPr>
          <w:p w:rsidR="001A30AD" w:rsidRDefault="001A30AD" w:rsidP="002F4782">
            <w:r>
              <w:t>Qu’est ce qui aurait justifié une note supérieure</w:t>
            </w:r>
          </w:p>
        </w:tc>
        <w:tc>
          <w:tcPr>
            <w:tcW w:w="1809" w:type="dxa"/>
          </w:tcPr>
          <w:p w:rsidR="001A30AD" w:rsidRDefault="001A30AD" w:rsidP="002F4782">
            <w:r>
              <w:t>Qu’est ce qui aurait justifié une note inférieure</w:t>
            </w:r>
          </w:p>
        </w:tc>
      </w:tr>
    </w:tbl>
    <w:p w:rsidR="002F4782" w:rsidRPr="0072128F" w:rsidRDefault="002F4782" w:rsidP="002F4782"/>
    <w:p w:rsidR="00B8346C" w:rsidRPr="0072128F" w:rsidRDefault="00B8346C">
      <w:r w:rsidRPr="0072128F">
        <w:br w:type="page"/>
      </w:r>
    </w:p>
    <w:p w:rsidR="00B8346C" w:rsidRPr="0072128F" w:rsidRDefault="00B8346C" w:rsidP="002F4782"/>
    <w:p w:rsidR="00B8346C" w:rsidRDefault="00B8346C" w:rsidP="00B8346C">
      <w:pPr>
        <w:pStyle w:val="Titre2"/>
      </w:pPr>
      <w:r w:rsidRPr="00B8346C">
        <w:t>Les effets sur les populations fragiles par exemple les travailleu</w:t>
      </w:r>
      <w:r>
        <w:t xml:space="preserve">rs avec un revenu insuffisant 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754"/>
        <w:gridCol w:w="2919"/>
        <w:gridCol w:w="992"/>
        <w:gridCol w:w="2552"/>
        <w:gridCol w:w="1559"/>
        <w:gridCol w:w="2126"/>
        <w:gridCol w:w="2268"/>
      </w:tblGrid>
      <w:tr w:rsidR="001A30AD" w:rsidRPr="00B8346C" w:rsidTr="001A30AD">
        <w:tc>
          <w:tcPr>
            <w:tcW w:w="1754" w:type="dxa"/>
          </w:tcPr>
          <w:p w:rsidR="001A30AD" w:rsidRPr="00B8346C" w:rsidRDefault="001A30AD" w:rsidP="00B8346C">
            <w:pPr>
              <w:spacing w:after="160" w:line="259" w:lineRule="auto"/>
            </w:pPr>
            <w:r w:rsidRPr="00B8346C">
              <w:t>Etude de cas</w:t>
            </w:r>
          </w:p>
        </w:tc>
        <w:tc>
          <w:tcPr>
            <w:tcW w:w="2919" w:type="dxa"/>
          </w:tcPr>
          <w:p w:rsidR="001A30AD" w:rsidRPr="00B8346C" w:rsidRDefault="001A30AD" w:rsidP="00B8346C">
            <w:pPr>
              <w:spacing w:after="160" w:line="259" w:lineRule="auto"/>
            </w:pPr>
            <w:r w:rsidRPr="00B8346C">
              <w:t>descripteurs</w:t>
            </w:r>
          </w:p>
        </w:tc>
        <w:tc>
          <w:tcPr>
            <w:tcW w:w="992" w:type="dxa"/>
          </w:tcPr>
          <w:p w:rsidR="001A30AD" w:rsidRPr="00B8346C" w:rsidRDefault="001A30AD" w:rsidP="00B8346C">
            <w:pPr>
              <w:spacing w:after="160" w:line="259" w:lineRule="auto"/>
            </w:pPr>
            <w:r w:rsidRPr="00B8346C">
              <w:t>Note</w:t>
            </w:r>
          </w:p>
        </w:tc>
        <w:tc>
          <w:tcPr>
            <w:tcW w:w="2552" w:type="dxa"/>
          </w:tcPr>
          <w:p w:rsidR="001A30AD" w:rsidRPr="00B8346C" w:rsidRDefault="001A30AD" w:rsidP="00B8346C">
            <w:pPr>
              <w:spacing w:after="160" w:line="259" w:lineRule="auto"/>
            </w:pPr>
            <w:r w:rsidRPr="00B8346C">
              <w:t>commentaire</w:t>
            </w:r>
          </w:p>
        </w:tc>
        <w:tc>
          <w:tcPr>
            <w:tcW w:w="1559" w:type="dxa"/>
          </w:tcPr>
          <w:p w:rsidR="001A30AD" w:rsidRPr="00B8346C" w:rsidRDefault="001A30AD" w:rsidP="00B8346C">
            <w:pPr>
              <w:spacing w:after="160" w:line="259" w:lineRule="auto"/>
            </w:pPr>
            <w:r w:rsidRPr="00B8346C">
              <w:t>Quelle information vous aurait permis de consolider cotre notation ?</w:t>
            </w:r>
          </w:p>
        </w:tc>
        <w:tc>
          <w:tcPr>
            <w:tcW w:w="2126" w:type="dxa"/>
          </w:tcPr>
          <w:p w:rsidR="001A30AD" w:rsidRPr="00B8346C" w:rsidRDefault="001A30AD" w:rsidP="00B8346C">
            <w:pPr>
              <w:spacing w:after="160" w:line="259" w:lineRule="auto"/>
            </w:pPr>
            <w:r w:rsidRPr="00B8346C">
              <w:t>Qu’est ce qui aurait justifié une note supérieure</w:t>
            </w:r>
          </w:p>
        </w:tc>
        <w:tc>
          <w:tcPr>
            <w:tcW w:w="2268" w:type="dxa"/>
          </w:tcPr>
          <w:p w:rsidR="001A30AD" w:rsidRPr="00B8346C" w:rsidRDefault="001A30AD" w:rsidP="00B8346C">
            <w:pPr>
              <w:spacing w:after="160" w:line="259" w:lineRule="auto"/>
            </w:pPr>
            <w:r w:rsidRPr="00B8346C">
              <w:t>Qu’est ce qui aurait justifié une note inférieure</w:t>
            </w:r>
          </w:p>
        </w:tc>
      </w:tr>
      <w:tr w:rsidR="001A30AD" w:rsidRPr="006205DF" w:rsidTr="001A30AD">
        <w:tc>
          <w:tcPr>
            <w:tcW w:w="1754" w:type="dxa"/>
          </w:tcPr>
          <w:p w:rsidR="001A30AD" w:rsidRPr="00B8346C" w:rsidRDefault="001A30AD" w:rsidP="00B8346C">
            <w:pPr>
              <w:spacing w:after="160" w:line="259" w:lineRule="auto"/>
            </w:pPr>
            <w:r w:rsidRPr="00B8346C">
              <w:t>Photopériode reproduction petits ruminants</w:t>
            </w:r>
          </w:p>
        </w:tc>
        <w:tc>
          <w:tcPr>
            <w:tcW w:w="2919" w:type="dxa"/>
          </w:tcPr>
          <w:p w:rsidR="001A30AD" w:rsidRPr="006205DF" w:rsidRDefault="001A30AD" w:rsidP="00B8346C">
            <w:pPr>
              <w:spacing w:after="160" w:line="259" w:lineRule="auto"/>
            </w:pPr>
            <w:r>
              <w:t xml:space="preserve">Le </w:t>
            </w:r>
            <w:r w:rsidRPr="006205DF">
              <w:t>Trait</w:t>
            </w:r>
            <w:r>
              <w:t>ement photopériodique augmente le</w:t>
            </w:r>
            <w:r w:rsidRPr="006205DF">
              <w:t xml:space="preserve"> revenus des agriculteurs mexicains défavorisés</w:t>
            </w:r>
          </w:p>
        </w:tc>
        <w:tc>
          <w:tcPr>
            <w:tcW w:w="992" w:type="dxa"/>
          </w:tcPr>
          <w:p w:rsidR="001A30AD" w:rsidRPr="006205DF" w:rsidRDefault="001A30AD" w:rsidP="00B8346C">
            <w:pPr>
              <w:spacing w:after="160" w:line="259" w:lineRule="auto"/>
            </w:pPr>
          </w:p>
        </w:tc>
        <w:tc>
          <w:tcPr>
            <w:tcW w:w="2552" w:type="dxa"/>
          </w:tcPr>
          <w:p w:rsidR="001A30AD" w:rsidRPr="006205DF" w:rsidRDefault="001A30AD" w:rsidP="00B8346C">
            <w:pPr>
              <w:spacing w:after="160" w:line="259" w:lineRule="auto"/>
            </w:pPr>
          </w:p>
        </w:tc>
        <w:tc>
          <w:tcPr>
            <w:tcW w:w="1559" w:type="dxa"/>
          </w:tcPr>
          <w:p w:rsidR="001A30AD" w:rsidRPr="006205DF" w:rsidRDefault="001A30AD" w:rsidP="00B8346C">
            <w:pPr>
              <w:spacing w:after="160" w:line="259" w:lineRule="auto"/>
            </w:pPr>
          </w:p>
        </w:tc>
        <w:tc>
          <w:tcPr>
            <w:tcW w:w="2126" w:type="dxa"/>
          </w:tcPr>
          <w:p w:rsidR="001A30AD" w:rsidRPr="006205DF" w:rsidRDefault="001A30AD" w:rsidP="00B8346C">
            <w:pPr>
              <w:spacing w:after="160" w:line="259" w:lineRule="auto"/>
            </w:pPr>
          </w:p>
        </w:tc>
        <w:tc>
          <w:tcPr>
            <w:tcW w:w="2268" w:type="dxa"/>
          </w:tcPr>
          <w:p w:rsidR="001A30AD" w:rsidRPr="006205DF" w:rsidRDefault="001A30AD" w:rsidP="00B8346C">
            <w:pPr>
              <w:spacing w:after="160" w:line="259" w:lineRule="auto"/>
            </w:pPr>
          </w:p>
        </w:tc>
      </w:tr>
      <w:tr w:rsidR="001A30AD" w:rsidRPr="006205DF" w:rsidTr="001A30AD">
        <w:tc>
          <w:tcPr>
            <w:tcW w:w="1754" w:type="dxa"/>
          </w:tcPr>
          <w:p w:rsidR="001A30AD" w:rsidRPr="00B8346C" w:rsidRDefault="001A30AD" w:rsidP="00B8346C">
            <w:proofErr w:type="spellStart"/>
            <w:r>
              <w:t>Nutriscore</w:t>
            </w:r>
            <w:proofErr w:type="spellEnd"/>
          </w:p>
        </w:tc>
        <w:tc>
          <w:tcPr>
            <w:tcW w:w="2919" w:type="dxa"/>
          </w:tcPr>
          <w:p w:rsidR="001A30AD" w:rsidRDefault="001A30AD" w:rsidP="001A30AD">
            <w:r>
              <w:t xml:space="preserve">Une étude publiée par Que Choisir (300 aliments) a montré que les aliments les mieux classés par </w:t>
            </w:r>
            <w:proofErr w:type="spellStart"/>
            <w:r>
              <w:t>Nutri</w:t>
            </w:r>
            <w:proofErr w:type="spellEnd"/>
            <w:r>
              <w:t>-Score n’étaient pas obligatoirement plus chers.</w:t>
            </w:r>
          </w:p>
          <w:p w:rsidR="004D6F30" w:rsidRDefault="004D6F30" w:rsidP="001A30AD"/>
          <w:p w:rsidR="001A30AD" w:rsidRDefault="001A30AD" w:rsidP="001A30AD">
            <w:r>
              <w:t xml:space="preserve"> Les études en condition réelle n’ont pas constaté une augmentation du prix des caddies., Certains opérateurs économiques en  Belgique proposent une diminution des prix entre 20 à 50% pour les produits classés A ou B dans le </w:t>
            </w:r>
            <w:proofErr w:type="spellStart"/>
            <w:r>
              <w:t>Nutri</w:t>
            </w:r>
            <w:proofErr w:type="spellEnd"/>
            <w:r>
              <w:t>-Score</w:t>
            </w:r>
          </w:p>
        </w:tc>
        <w:tc>
          <w:tcPr>
            <w:tcW w:w="992" w:type="dxa"/>
          </w:tcPr>
          <w:p w:rsidR="001A30AD" w:rsidRPr="006205DF" w:rsidRDefault="001A30AD" w:rsidP="00B8346C"/>
        </w:tc>
        <w:tc>
          <w:tcPr>
            <w:tcW w:w="2552" w:type="dxa"/>
          </w:tcPr>
          <w:p w:rsidR="001A30AD" w:rsidRPr="006205DF" w:rsidRDefault="001A30AD" w:rsidP="00B8346C"/>
        </w:tc>
        <w:tc>
          <w:tcPr>
            <w:tcW w:w="1559" w:type="dxa"/>
          </w:tcPr>
          <w:p w:rsidR="001A30AD" w:rsidRPr="006205DF" w:rsidRDefault="001A30AD" w:rsidP="00B8346C"/>
        </w:tc>
        <w:tc>
          <w:tcPr>
            <w:tcW w:w="2126" w:type="dxa"/>
          </w:tcPr>
          <w:p w:rsidR="001A30AD" w:rsidRPr="006205DF" w:rsidRDefault="001A30AD" w:rsidP="00B8346C"/>
        </w:tc>
        <w:tc>
          <w:tcPr>
            <w:tcW w:w="2268" w:type="dxa"/>
          </w:tcPr>
          <w:p w:rsidR="001A30AD" w:rsidRPr="006205DF" w:rsidRDefault="001A30AD" w:rsidP="00B8346C"/>
        </w:tc>
      </w:tr>
    </w:tbl>
    <w:p w:rsidR="00B8346C" w:rsidRPr="006205DF" w:rsidRDefault="00B8346C" w:rsidP="00B8346C"/>
    <w:p w:rsidR="00B8346C" w:rsidRPr="006205DF" w:rsidRDefault="00B8346C" w:rsidP="00B8346C"/>
    <w:p w:rsidR="00B8346C" w:rsidRDefault="00B8346C" w:rsidP="004D6F30">
      <w:pPr>
        <w:pStyle w:val="Titre2"/>
      </w:pPr>
      <w:r w:rsidRPr="00B8346C">
        <w:t>La création de nouvelles opportunités en zone défavorisée</w:t>
      </w:r>
    </w:p>
    <w:p w:rsidR="00B8346C" w:rsidRPr="00B8346C" w:rsidRDefault="00B8346C" w:rsidP="00B8346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4"/>
        <w:gridCol w:w="2400"/>
        <w:gridCol w:w="1137"/>
        <w:gridCol w:w="1747"/>
        <w:gridCol w:w="2785"/>
        <w:gridCol w:w="2126"/>
        <w:gridCol w:w="2268"/>
      </w:tblGrid>
      <w:tr w:rsidR="0072128F" w:rsidRPr="00B8346C" w:rsidTr="0072128F">
        <w:tc>
          <w:tcPr>
            <w:tcW w:w="1424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Etude de cas</w:t>
            </w:r>
          </w:p>
        </w:tc>
        <w:tc>
          <w:tcPr>
            <w:tcW w:w="2400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descripteurs</w:t>
            </w:r>
          </w:p>
        </w:tc>
        <w:tc>
          <w:tcPr>
            <w:tcW w:w="1137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Note</w:t>
            </w:r>
          </w:p>
        </w:tc>
        <w:tc>
          <w:tcPr>
            <w:tcW w:w="1747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commentaire</w:t>
            </w:r>
          </w:p>
        </w:tc>
        <w:tc>
          <w:tcPr>
            <w:tcW w:w="2785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Quelle information vous aurait permis de consolider cotre notation ?</w:t>
            </w:r>
          </w:p>
        </w:tc>
        <w:tc>
          <w:tcPr>
            <w:tcW w:w="2126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Qu’est ce qui aurait justifié une note supérieure</w:t>
            </w:r>
          </w:p>
        </w:tc>
        <w:tc>
          <w:tcPr>
            <w:tcW w:w="2268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Qu’est ce qui aurait justifié une note inférieure</w:t>
            </w:r>
          </w:p>
        </w:tc>
      </w:tr>
      <w:tr w:rsidR="0072128F" w:rsidRPr="00B8346C" w:rsidTr="0072128F">
        <w:tc>
          <w:tcPr>
            <w:tcW w:w="1424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Tremblante</w:t>
            </w:r>
          </w:p>
        </w:tc>
        <w:tc>
          <w:tcPr>
            <w:tcW w:w="2400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 xml:space="preserve">Maintien d’activité économique et d’un tissu social en zone difficile, pertes évitées (abattage des bêtes, </w:t>
            </w:r>
            <w:r w:rsidR="00B743A2">
              <w:t xml:space="preserve">perte de 2000 à 3000 </w:t>
            </w:r>
            <w:bookmarkStart w:id="0" w:name="_GoBack"/>
            <w:bookmarkEnd w:id="0"/>
            <w:r w:rsidRPr="00B8346C">
              <w:t>emplois), contribution au développement de l’agropastoralisme</w:t>
            </w:r>
          </w:p>
        </w:tc>
        <w:tc>
          <w:tcPr>
            <w:tcW w:w="1137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1747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785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126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268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</w:tr>
      <w:tr w:rsidR="0072128F" w:rsidRPr="00B8346C" w:rsidTr="0072128F">
        <w:tc>
          <w:tcPr>
            <w:tcW w:w="1424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Abeilles</w:t>
            </w:r>
          </w:p>
        </w:tc>
        <w:tc>
          <w:tcPr>
            <w:tcW w:w="2400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Création de 20 emplois qualifiés dans une région affectée par l’arrêt d’activité d’Elf Aquitaine</w:t>
            </w:r>
          </w:p>
        </w:tc>
        <w:tc>
          <w:tcPr>
            <w:tcW w:w="1137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1747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785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126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268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</w:tr>
      <w:tr w:rsidR="0072128F" w:rsidRPr="00B8346C" w:rsidTr="0072128F">
        <w:tc>
          <w:tcPr>
            <w:tcW w:w="1424" w:type="dxa"/>
          </w:tcPr>
          <w:p w:rsidR="0072128F" w:rsidRPr="00B8346C" w:rsidRDefault="0072128F" w:rsidP="00B8346C">
            <w:pPr>
              <w:spacing w:after="160" w:line="259" w:lineRule="auto"/>
            </w:pPr>
            <w:proofErr w:type="spellStart"/>
            <w:r w:rsidRPr="00B8346C">
              <w:t>Antibio</w:t>
            </w:r>
            <w:proofErr w:type="spellEnd"/>
            <w:r w:rsidRPr="00B8346C">
              <w:t xml:space="preserve"> lapins</w:t>
            </w:r>
          </w:p>
        </w:tc>
        <w:tc>
          <w:tcPr>
            <w:tcW w:w="2400" w:type="dxa"/>
          </w:tcPr>
          <w:p w:rsidR="0072128F" w:rsidRPr="00B8346C" w:rsidRDefault="0072128F" w:rsidP="00B8346C">
            <w:pPr>
              <w:spacing w:after="160" w:line="259" w:lineRule="auto"/>
            </w:pPr>
            <w:r w:rsidRPr="00B8346C">
              <w:t>Contribution au maintien d'emploi rural</w:t>
            </w:r>
          </w:p>
        </w:tc>
        <w:tc>
          <w:tcPr>
            <w:tcW w:w="1137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1747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785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126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  <w:tc>
          <w:tcPr>
            <w:tcW w:w="2268" w:type="dxa"/>
          </w:tcPr>
          <w:p w:rsidR="0072128F" w:rsidRPr="00B8346C" w:rsidRDefault="0072128F" w:rsidP="00B8346C">
            <w:pPr>
              <w:spacing w:after="160" w:line="259" w:lineRule="auto"/>
            </w:pPr>
          </w:p>
        </w:tc>
      </w:tr>
      <w:tr w:rsidR="0072128F" w:rsidRPr="00B8346C" w:rsidTr="0072128F">
        <w:tc>
          <w:tcPr>
            <w:tcW w:w="1424" w:type="dxa"/>
          </w:tcPr>
          <w:p w:rsidR="0072128F" w:rsidRPr="00B8346C" w:rsidRDefault="0072128F" w:rsidP="00B8346C">
            <w:r>
              <w:t>Prairies-fleuries</w:t>
            </w:r>
          </w:p>
        </w:tc>
        <w:tc>
          <w:tcPr>
            <w:tcW w:w="2400" w:type="dxa"/>
          </w:tcPr>
          <w:p w:rsidR="0072128F" w:rsidRPr="00B8346C" w:rsidRDefault="0072128F" w:rsidP="00B8346C">
            <w:r w:rsidRPr="0072128F">
              <w:t xml:space="preserve">Les MAE-R permettent de mieux reconnaître la contribution environnementale des agriculteurs dans les zones de Parc qui sont généralement </w:t>
            </w:r>
            <w:r w:rsidRPr="0072128F">
              <w:lastRenderedPageBreak/>
              <w:t>défavorisées du point de vue de l’activité agricole</w:t>
            </w:r>
          </w:p>
        </w:tc>
        <w:tc>
          <w:tcPr>
            <w:tcW w:w="1137" w:type="dxa"/>
          </w:tcPr>
          <w:p w:rsidR="0072128F" w:rsidRPr="00B8346C" w:rsidRDefault="0072128F" w:rsidP="00B8346C"/>
        </w:tc>
        <w:tc>
          <w:tcPr>
            <w:tcW w:w="1747" w:type="dxa"/>
          </w:tcPr>
          <w:p w:rsidR="0072128F" w:rsidRPr="00B8346C" w:rsidRDefault="0072128F" w:rsidP="00B8346C"/>
        </w:tc>
        <w:tc>
          <w:tcPr>
            <w:tcW w:w="2785" w:type="dxa"/>
          </w:tcPr>
          <w:p w:rsidR="0072128F" w:rsidRPr="00B8346C" w:rsidRDefault="0072128F" w:rsidP="00B8346C"/>
        </w:tc>
        <w:tc>
          <w:tcPr>
            <w:tcW w:w="2126" w:type="dxa"/>
          </w:tcPr>
          <w:p w:rsidR="0072128F" w:rsidRPr="00B8346C" w:rsidRDefault="0072128F" w:rsidP="00B8346C"/>
        </w:tc>
        <w:tc>
          <w:tcPr>
            <w:tcW w:w="2268" w:type="dxa"/>
          </w:tcPr>
          <w:p w:rsidR="0072128F" w:rsidRPr="00B8346C" w:rsidRDefault="0072128F" w:rsidP="00B8346C"/>
        </w:tc>
      </w:tr>
    </w:tbl>
    <w:p w:rsidR="006205DF" w:rsidRPr="0072128F" w:rsidRDefault="006205DF" w:rsidP="00B8346C"/>
    <w:p w:rsidR="006205DF" w:rsidRPr="0072128F" w:rsidRDefault="006205DF">
      <w:r w:rsidRPr="0072128F">
        <w:br w:type="page"/>
      </w:r>
    </w:p>
    <w:p w:rsidR="00B8346C" w:rsidRPr="0072128F" w:rsidRDefault="00B8346C" w:rsidP="00B8346C"/>
    <w:p w:rsidR="002F4782" w:rsidRPr="006205DF" w:rsidRDefault="00B8346C" w:rsidP="006205DF">
      <w:pPr>
        <w:pStyle w:val="Titre2"/>
        <w:tabs>
          <w:tab w:val="left" w:pos="6540"/>
        </w:tabs>
        <w:rPr>
          <w:lang w:val="en-GB"/>
        </w:rPr>
      </w:pPr>
      <w:r w:rsidRPr="00B8346C">
        <w:t>L’accès aux services essentiels</w:t>
      </w:r>
      <w:r w:rsidR="006205DF">
        <w:tab/>
      </w:r>
    </w:p>
    <w:p w:rsidR="00B8346C" w:rsidRPr="00B8346C" w:rsidRDefault="00B8346C" w:rsidP="00B8346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6"/>
        <w:gridCol w:w="1754"/>
        <w:gridCol w:w="2070"/>
        <w:gridCol w:w="1137"/>
        <w:gridCol w:w="1747"/>
        <w:gridCol w:w="2046"/>
        <w:gridCol w:w="2025"/>
        <w:gridCol w:w="1809"/>
      </w:tblGrid>
      <w:tr w:rsidR="00B8346C" w:rsidRPr="00B8346C" w:rsidTr="00B04F81">
        <w:tc>
          <w:tcPr>
            <w:tcW w:w="1406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Sous-catégorie</w:t>
            </w:r>
          </w:p>
        </w:tc>
        <w:tc>
          <w:tcPr>
            <w:tcW w:w="1754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Etude de cas</w:t>
            </w:r>
          </w:p>
        </w:tc>
        <w:tc>
          <w:tcPr>
            <w:tcW w:w="2070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descripteurs</w:t>
            </w:r>
          </w:p>
        </w:tc>
        <w:tc>
          <w:tcPr>
            <w:tcW w:w="1137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Note</w:t>
            </w:r>
          </w:p>
        </w:tc>
        <w:tc>
          <w:tcPr>
            <w:tcW w:w="1747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commentaire</w:t>
            </w:r>
          </w:p>
        </w:tc>
        <w:tc>
          <w:tcPr>
            <w:tcW w:w="2046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Quelle information vous aurait permis de consolider cotre notation ?</w:t>
            </w:r>
          </w:p>
        </w:tc>
        <w:tc>
          <w:tcPr>
            <w:tcW w:w="2025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Qu’est ce qui aurait justifié une note supérieure</w:t>
            </w:r>
          </w:p>
        </w:tc>
        <w:tc>
          <w:tcPr>
            <w:tcW w:w="1809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Qu’est ce qui aurait justifié une note inférieure</w:t>
            </w:r>
          </w:p>
        </w:tc>
      </w:tr>
      <w:tr w:rsidR="00B8346C" w:rsidRPr="00B8346C" w:rsidTr="00B04F81">
        <w:tc>
          <w:tcPr>
            <w:tcW w:w="1406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Accès aux services publics</w:t>
            </w:r>
          </w:p>
        </w:tc>
        <w:tc>
          <w:tcPr>
            <w:tcW w:w="1754" w:type="dxa"/>
          </w:tcPr>
          <w:p w:rsidR="00B8346C" w:rsidRPr="00B8346C" w:rsidRDefault="00B8346C" w:rsidP="00B8346C">
            <w:pPr>
              <w:spacing w:after="160" w:line="259" w:lineRule="auto"/>
            </w:pPr>
            <w:proofErr w:type="spellStart"/>
            <w:r w:rsidRPr="00B8346C">
              <w:t>Odomatrix</w:t>
            </w:r>
            <w:proofErr w:type="spellEnd"/>
          </w:p>
        </w:tc>
        <w:tc>
          <w:tcPr>
            <w:tcW w:w="2070" w:type="dxa"/>
          </w:tcPr>
          <w:p w:rsidR="00B8346C" w:rsidRPr="00B8346C" w:rsidRDefault="00B8346C" w:rsidP="00B8346C">
            <w:pPr>
              <w:spacing w:after="160" w:line="259" w:lineRule="auto"/>
            </w:pPr>
            <w:r w:rsidRPr="00B8346C">
              <w:t>Augmentation de la coopération intercommunale : élaboration de schémas départementaux d’amélioration de l’accessibilité des services au public</w:t>
            </w:r>
          </w:p>
        </w:tc>
        <w:tc>
          <w:tcPr>
            <w:tcW w:w="1137" w:type="dxa"/>
          </w:tcPr>
          <w:p w:rsidR="00B8346C" w:rsidRPr="00B8346C" w:rsidRDefault="00B8346C" w:rsidP="00B8346C">
            <w:pPr>
              <w:spacing w:after="160" w:line="259" w:lineRule="auto"/>
            </w:pPr>
          </w:p>
        </w:tc>
        <w:tc>
          <w:tcPr>
            <w:tcW w:w="1747" w:type="dxa"/>
          </w:tcPr>
          <w:p w:rsidR="00B8346C" w:rsidRPr="00B8346C" w:rsidRDefault="00B8346C" w:rsidP="00B8346C">
            <w:pPr>
              <w:spacing w:after="160" w:line="259" w:lineRule="auto"/>
            </w:pPr>
          </w:p>
        </w:tc>
        <w:tc>
          <w:tcPr>
            <w:tcW w:w="2046" w:type="dxa"/>
          </w:tcPr>
          <w:p w:rsidR="00B8346C" w:rsidRPr="00B8346C" w:rsidRDefault="00B8346C" w:rsidP="00B8346C">
            <w:pPr>
              <w:spacing w:after="160" w:line="259" w:lineRule="auto"/>
            </w:pPr>
          </w:p>
        </w:tc>
        <w:tc>
          <w:tcPr>
            <w:tcW w:w="2025" w:type="dxa"/>
          </w:tcPr>
          <w:p w:rsidR="00B8346C" w:rsidRPr="00B8346C" w:rsidRDefault="00B8346C" w:rsidP="00B8346C">
            <w:pPr>
              <w:spacing w:after="160" w:line="259" w:lineRule="auto"/>
            </w:pPr>
          </w:p>
        </w:tc>
        <w:tc>
          <w:tcPr>
            <w:tcW w:w="1809" w:type="dxa"/>
          </w:tcPr>
          <w:p w:rsidR="00B8346C" w:rsidRPr="00B8346C" w:rsidRDefault="00B8346C" w:rsidP="00B8346C">
            <w:pPr>
              <w:spacing w:after="160" w:line="259" w:lineRule="auto"/>
            </w:pPr>
          </w:p>
        </w:tc>
      </w:tr>
      <w:tr w:rsidR="00406AAF" w:rsidRPr="00B8346C" w:rsidTr="00B04F81">
        <w:tc>
          <w:tcPr>
            <w:tcW w:w="1406" w:type="dxa"/>
          </w:tcPr>
          <w:p w:rsidR="00406AAF" w:rsidRPr="00B8346C" w:rsidRDefault="00406AAF" w:rsidP="00B8346C"/>
        </w:tc>
        <w:tc>
          <w:tcPr>
            <w:tcW w:w="1754" w:type="dxa"/>
          </w:tcPr>
          <w:p w:rsidR="00406AAF" w:rsidRPr="00B8346C" w:rsidRDefault="00406AAF" w:rsidP="00B8346C">
            <w:proofErr w:type="spellStart"/>
            <w:r>
              <w:t>Odomatrix</w:t>
            </w:r>
            <w:proofErr w:type="spellEnd"/>
          </w:p>
        </w:tc>
        <w:tc>
          <w:tcPr>
            <w:tcW w:w="2070" w:type="dxa"/>
          </w:tcPr>
          <w:p w:rsidR="00406AAF" w:rsidRPr="00406AAF" w:rsidRDefault="00406AAF" w:rsidP="00B8346C">
            <w:pPr>
              <w:rPr>
                <w:b/>
              </w:rPr>
            </w:pPr>
            <w:r w:rsidRPr="00406AAF">
              <w:rPr>
                <w:b/>
              </w:rPr>
              <w:t xml:space="preserve">Accès au soin en France </w:t>
            </w:r>
          </w:p>
          <w:p w:rsidR="00406AAF" w:rsidRPr="00B8346C" w:rsidRDefault="00406AAF" w:rsidP="00406AAF">
            <w:proofErr w:type="spellStart"/>
            <w:r w:rsidRPr="00406AAF">
              <w:t>Odomatrix</w:t>
            </w:r>
            <w:proofErr w:type="spellEnd"/>
            <w:r w:rsidRPr="00406AAF">
              <w:t xml:space="preserve"> fournit des indicateurs et des grilles d’analyse permettant de caractériser l’accès au système de soins dans les régions et dans les territoires</w:t>
            </w:r>
            <w:r>
              <w:t xml:space="preserve"> (hôpitaux)</w:t>
            </w:r>
            <w:r w:rsidRPr="00406AAF">
              <w:t xml:space="preserve">. Ces analyses ont </w:t>
            </w:r>
            <w:r>
              <w:t xml:space="preserve">également </w:t>
            </w:r>
            <w:r w:rsidRPr="00406AAF">
              <w:t>permis de décider de l’octroi de subventions pour les médecins s’installant dans des zones caractérisées par une offre de soins insuffisante (déserts médicaux).</w:t>
            </w:r>
          </w:p>
        </w:tc>
        <w:tc>
          <w:tcPr>
            <w:tcW w:w="1137" w:type="dxa"/>
          </w:tcPr>
          <w:p w:rsidR="00406AAF" w:rsidRPr="00B8346C" w:rsidRDefault="00406AAF" w:rsidP="00B8346C"/>
        </w:tc>
        <w:tc>
          <w:tcPr>
            <w:tcW w:w="1747" w:type="dxa"/>
          </w:tcPr>
          <w:p w:rsidR="00406AAF" w:rsidRPr="00B8346C" w:rsidRDefault="00406AAF" w:rsidP="00B8346C"/>
        </w:tc>
        <w:tc>
          <w:tcPr>
            <w:tcW w:w="2046" w:type="dxa"/>
          </w:tcPr>
          <w:p w:rsidR="00406AAF" w:rsidRPr="00B8346C" w:rsidRDefault="00406AAF" w:rsidP="00B8346C"/>
        </w:tc>
        <w:tc>
          <w:tcPr>
            <w:tcW w:w="2025" w:type="dxa"/>
          </w:tcPr>
          <w:p w:rsidR="00406AAF" w:rsidRPr="00B8346C" w:rsidRDefault="00406AAF" w:rsidP="00B8346C"/>
        </w:tc>
        <w:tc>
          <w:tcPr>
            <w:tcW w:w="1809" w:type="dxa"/>
          </w:tcPr>
          <w:p w:rsidR="00406AAF" w:rsidRPr="00B8346C" w:rsidRDefault="00406AAF" w:rsidP="00B8346C"/>
        </w:tc>
      </w:tr>
      <w:tr w:rsidR="004D6F30" w:rsidRPr="00B8346C" w:rsidTr="00B04F81">
        <w:tc>
          <w:tcPr>
            <w:tcW w:w="1406" w:type="dxa"/>
          </w:tcPr>
          <w:p w:rsidR="004D6F30" w:rsidRPr="00B8346C" w:rsidRDefault="004D6F30" w:rsidP="004D6F30">
            <w:pPr>
              <w:jc w:val="center"/>
            </w:pPr>
            <w:r w:rsidRPr="004D6F30">
              <w:t xml:space="preserve">Accès aux services </w:t>
            </w:r>
          </w:p>
        </w:tc>
        <w:tc>
          <w:tcPr>
            <w:tcW w:w="1754" w:type="dxa"/>
          </w:tcPr>
          <w:p w:rsidR="004D6F30" w:rsidRPr="00B8346C" w:rsidRDefault="004D6F30" w:rsidP="00B8346C">
            <w:proofErr w:type="spellStart"/>
            <w:r>
              <w:t>Odomatrix</w:t>
            </w:r>
            <w:proofErr w:type="spellEnd"/>
          </w:p>
        </w:tc>
        <w:tc>
          <w:tcPr>
            <w:tcW w:w="2070" w:type="dxa"/>
          </w:tcPr>
          <w:p w:rsidR="004D6F30" w:rsidRPr="00D074CF" w:rsidRDefault="004D6F30" w:rsidP="004D6F30">
            <w:pPr>
              <w:jc w:val="both"/>
              <w:rPr>
                <w:b/>
              </w:rPr>
            </w:pPr>
            <w:r w:rsidRPr="00D074CF">
              <w:rPr>
                <w:b/>
              </w:rPr>
              <w:t>Respect de la norme d’accessibilité des services postaux (La Poste)</w:t>
            </w:r>
          </w:p>
          <w:p w:rsidR="004D6F30" w:rsidRPr="00B8346C" w:rsidRDefault="004D6F30" w:rsidP="004D6F30">
            <w:r>
              <w:t>au moins 90 % de la population de chaque département français soit située à moins de cinq kilomètres, ou vingt minutes de trajet automobile, d’un point de contact postal</w:t>
            </w:r>
          </w:p>
        </w:tc>
        <w:tc>
          <w:tcPr>
            <w:tcW w:w="1137" w:type="dxa"/>
          </w:tcPr>
          <w:p w:rsidR="004D6F30" w:rsidRPr="00B8346C" w:rsidRDefault="004D6F30" w:rsidP="00B8346C"/>
        </w:tc>
        <w:tc>
          <w:tcPr>
            <w:tcW w:w="1747" w:type="dxa"/>
          </w:tcPr>
          <w:p w:rsidR="004D6F30" w:rsidRPr="00B8346C" w:rsidRDefault="004D6F30" w:rsidP="00B8346C"/>
        </w:tc>
        <w:tc>
          <w:tcPr>
            <w:tcW w:w="2046" w:type="dxa"/>
          </w:tcPr>
          <w:p w:rsidR="004D6F30" w:rsidRPr="00B8346C" w:rsidRDefault="004D6F30" w:rsidP="00B8346C"/>
        </w:tc>
        <w:tc>
          <w:tcPr>
            <w:tcW w:w="2025" w:type="dxa"/>
          </w:tcPr>
          <w:p w:rsidR="004D6F30" w:rsidRPr="00B8346C" w:rsidRDefault="004D6F30" w:rsidP="00B8346C"/>
        </w:tc>
        <w:tc>
          <w:tcPr>
            <w:tcW w:w="1809" w:type="dxa"/>
          </w:tcPr>
          <w:p w:rsidR="004D6F30" w:rsidRPr="00B8346C" w:rsidRDefault="004D6F30" w:rsidP="00B8346C"/>
        </w:tc>
      </w:tr>
      <w:tr w:rsidR="004D6F30" w:rsidRPr="00B8346C" w:rsidTr="00B04F81">
        <w:tc>
          <w:tcPr>
            <w:tcW w:w="1406" w:type="dxa"/>
          </w:tcPr>
          <w:p w:rsidR="004D6F30" w:rsidRPr="004D6F30" w:rsidRDefault="004D6F30" w:rsidP="004D6F30">
            <w:pPr>
              <w:jc w:val="center"/>
            </w:pPr>
            <w:r>
              <w:t>Accès aux services</w:t>
            </w:r>
          </w:p>
        </w:tc>
        <w:tc>
          <w:tcPr>
            <w:tcW w:w="1754" w:type="dxa"/>
          </w:tcPr>
          <w:p w:rsidR="004D6F30" w:rsidRDefault="004D6F30" w:rsidP="00B8346C">
            <w:proofErr w:type="spellStart"/>
            <w:r>
              <w:t>Odomatrix</w:t>
            </w:r>
            <w:proofErr w:type="spellEnd"/>
          </w:p>
        </w:tc>
        <w:tc>
          <w:tcPr>
            <w:tcW w:w="2070" w:type="dxa"/>
          </w:tcPr>
          <w:p w:rsidR="004D6F30" w:rsidRPr="004D6F30" w:rsidRDefault="004D6F30" w:rsidP="004D6F30">
            <w:pPr>
              <w:rPr>
                <w:b/>
              </w:rPr>
            </w:pPr>
            <w:r w:rsidRPr="004D6F30">
              <w:rPr>
                <w:b/>
              </w:rPr>
              <w:t>Accès aux stations-services</w:t>
            </w:r>
          </w:p>
          <w:p w:rsidR="004D6F30" w:rsidRPr="004D6F30" w:rsidRDefault="004D6F30" w:rsidP="004B38CB">
            <w:proofErr w:type="spellStart"/>
            <w:r w:rsidRPr="004D6F30">
              <w:t>Odomatrix</w:t>
            </w:r>
            <w:proofErr w:type="spellEnd"/>
            <w:r w:rsidRPr="004D6F30">
              <w:t xml:space="preserve"> a été utilisé pour déterminer à quelles stations il convenait d’attribuer une subvention publique permettant d’assurer leur maintien. 871 stations clés, seules dans leur bassin de desserte et dont la clientèle potentielle est à plus de 10 minutes de trajet, ont été identifiées. Ces stations desservent localement 4 millions d’habitants. </w:t>
            </w:r>
            <w:r w:rsidR="005D442D">
              <w:t>La moitié des</w:t>
            </w:r>
            <w:r w:rsidRPr="004D6F30">
              <w:t xml:space="preserve"> </w:t>
            </w:r>
            <w:r w:rsidR="005D442D">
              <w:t>629 stations les plus fragiles</w:t>
            </w:r>
            <w:r w:rsidR="004B38CB">
              <w:t>, tenues par des indépendant</w:t>
            </w:r>
            <w:r w:rsidRPr="004D6F30">
              <w:t>s ont pu bénéficier d’une aide financière</w:t>
            </w:r>
          </w:p>
        </w:tc>
        <w:tc>
          <w:tcPr>
            <w:tcW w:w="1137" w:type="dxa"/>
          </w:tcPr>
          <w:p w:rsidR="004D6F30" w:rsidRPr="00B8346C" w:rsidRDefault="004D6F30" w:rsidP="00B8346C"/>
        </w:tc>
        <w:tc>
          <w:tcPr>
            <w:tcW w:w="1747" w:type="dxa"/>
          </w:tcPr>
          <w:p w:rsidR="004D6F30" w:rsidRPr="00B8346C" w:rsidRDefault="004D6F30" w:rsidP="00B8346C"/>
        </w:tc>
        <w:tc>
          <w:tcPr>
            <w:tcW w:w="2046" w:type="dxa"/>
          </w:tcPr>
          <w:p w:rsidR="004D6F30" w:rsidRPr="00B8346C" w:rsidRDefault="004D6F30" w:rsidP="00B8346C"/>
        </w:tc>
        <w:tc>
          <w:tcPr>
            <w:tcW w:w="2025" w:type="dxa"/>
          </w:tcPr>
          <w:p w:rsidR="004D6F30" w:rsidRPr="00B8346C" w:rsidRDefault="004D6F30" w:rsidP="00B8346C"/>
        </w:tc>
        <w:tc>
          <w:tcPr>
            <w:tcW w:w="1809" w:type="dxa"/>
          </w:tcPr>
          <w:p w:rsidR="004D6F30" w:rsidRPr="00B8346C" w:rsidRDefault="004D6F30" w:rsidP="00B8346C"/>
        </w:tc>
      </w:tr>
    </w:tbl>
    <w:p w:rsidR="002C1A9A" w:rsidRPr="0072128F" w:rsidRDefault="00B743A2"/>
    <w:sectPr w:rsidR="002C1A9A" w:rsidRPr="0072128F" w:rsidSect="002F478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34" w:rsidRDefault="003C4E34" w:rsidP="003C4E34">
      <w:pPr>
        <w:spacing w:after="0" w:line="240" w:lineRule="auto"/>
      </w:pPr>
      <w:r>
        <w:separator/>
      </w:r>
    </w:p>
  </w:endnote>
  <w:endnote w:type="continuationSeparator" w:id="0">
    <w:p w:rsidR="003C4E34" w:rsidRDefault="003C4E34" w:rsidP="003C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7767414"/>
      <w:docPartObj>
        <w:docPartGallery w:val="Page Numbers (Bottom of Page)"/>
        <w:docPartUnique/>
      </w:docPartObj>
    </w:sdtPr>
    <w:sdtEndPr/>
    <w:sdtContent>
      <w:p w:rsidR="003C4E34" w:rsidRDefault="003C4E3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43A2">
          <w:rPr>
            <w:noProof/>
          </w:rPr>
          <w:t>4</w:t>
        </w:r>
        <w:r>
          <w:fldChar w:fldCharType="end"/>
        </w:r>
      </w:p>
    </w:sdtContent>
  </w:sdt>
  <w:p w:rsidR="003C4E34" w:rsidRDefault="003C4E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34" w:rsidRDefault="003C4E34" w:rsidP="003C4E34">
      <w:pPr>
        <w:spacing w:after="0" w:line="240" w:lineRule="auto"/>
      </w:pPr>
      <w:r>
        <w:separator/>
      </w:r>
    </w:p>
  </w:footnote>
  <w:footnote w:type="continuationSeparator" w:id="0">
    <w:p w:rsidR="003C4E34" w:rsidRDefault="003C4E34" w:rsidP="003C4E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F25"/>
    <w:multiLevelType w:val="hybridMultilevel"/>
    <w:tmpl w:val="EC028D94"/>
    <w:lvl w:ilvl="0" w:tplc="716235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81CDF"/>
    <w:multiLevelType w:val="hybridMultilevel"/>
    <w:tmpl w:val="91EEC6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15C9"/>
    <w:multiLevelType w:val="hybridMultilevel"/>
    <w:tmpl w:val="E99A5D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82"/>
    <w:rsid w:val="00082F3D"/>
    <w:rsid w:val="001A30AD"/>
    <w:rsid w:val="001A3E49"/>
    <w:rsid w:val="002F4782"/>
    <w:rsid w:val="003349FA"/>
    <w:rsid w:val="003C4E34"/>
    <w:rsid w:val="00406AAF"/>
    <w:rsid w:val="004B38CB"/>
    <w:rsid w:val="004C4CB4"/>
    <w:rsid w:val="004D6F30"/>
    <w:rsid w:val="005D442D"/>
    <w:rsid w:val="006205DF"/>
    <w:rsid w:val="0072128F"/>
    <w:rsid w:val="00B309CF"/>
    <w:rsid w:val="00B743A2"/>
    <w:rsid w:val="00B8346C"/>
    <w:rsid w:val="00BB2654"/>
    <w:rsid w:val="00E6559B"/>
    <w:rsid w:val="00EE1310"/>
    <w:rsid w:val="00F4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CA45B"/>
  <w15:chartTrackingRefBased/>
  <w15:docId w15:val="{E21D706F-C2FD-4498-89C3-141CD201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4782"/>
    <w:pPr>
      <w:keepNext/>
      <w:keepLines/>
      <w:spacing w:before="240" w:after="0"/>
      <w:jc w:val="center"/>
      <w:outlineLvl w:val="0"/>
    </w:pPr>
    <w:rPr>
      <w:rFonts w:ascii="Verdana" w:eastAsiaTheme="majorEastAsia" w:hAnsi="Verdana" w:cstheme="majorBidi"/>
      <w:color w:val="FF000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834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4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2F47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2F4782"/>
    <w:rPr>
      <w:rFonts w:ascii="Verdana" w:eastAsiaTheme="majorEastAsia" w:hAnsi="Verdana" w:cstheme="majorBidi"/>
      <w:color w:val="FF0000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2F4782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834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3C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E34"/>
  </w:style>
  <w:style w:type="paragraph" w:styleId="Pieddepage">
    <w:name w:val="footer"/>
    <w:basedOn w:val="Normal"/>
    <w:link w:val="PieddepageCar"/>
    <w:uiPriority w:val="99"/>
    <w:unhideWhenUsed/>
    <w:rsid w:val="003C4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E34"/>
  </w:style>
  <w:style w:type="paragraph" w:styleId="Textedebulles">
    <w:name w:val="Balloon Text"/>
    <w:basedOn w:val="Normal"/>
    <w:link w:val="TextedebullesCar"/>
    <w:uiPriority w:val="99"/>
    <w:semiHidden/>
    <w:unhideWhenUsed/>
    <w:rsid w:val="00F45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1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Colinet</dc:creator>
  <cp:keywords/>
  <dc:description/>
  <cp:lastModifiedBy>Laurence Colinet</cp:lastModifiedBy>
  <cp:revision>15</cp:revision>
  <cp:lastPrinted>2019-11-28T13:22:00Z</cp:lastPrinted>
  <dcterms:created xsi:type="dcterms:W3CDTF">2019-11-28T12:58:00Z</dcterms:created>
  <dcterms:modified xsi:type="dcterms:W3CDTF">2020-02-04T18:30:00Z</dcterms:modified>
</cp:coreProperties>
</file>